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E49" w:rsidRDefault="0007704E" w:rsidP="0028636E">
      <w:pPr>
        <w:spacing w:line="312" w:lineRule="auto"/>
        <w:jc w:val="center"/>
        <w:rPr>
          <w:rFonts w:ascii="Tahoma" w:hAnsi="Tahoma" w:cs="Tahoma"/>
          <w:b/>
          <w:sz w:val="28"/>
          <w:lang w:val="fr-CA"/>
        </w:rPr>
      </w:pPr>
      <w:r>
        <w:rPr>
          <w:rFonts w:ascii="Tahoma" w:hAnsi="Tahoma" w:cs="Tahoma"/>
          <w:b/>
          <w:sz w:val="28"/>
          <w:lang w:val="fr-CA"/>
        </w:rPr>
        <w:t>Les hépatites</w:t>
      </w:r>
      <w:r w:rsidR="005D04D3">
        <w:rPr>
          <w:rFonts w:ascii="Tahoma" w:hAnsi="Tahoma" w:cs="Tahoma"/>
          <w:b/>
          <w:sz w:val="28"/>
          <w:lang w:val="fr-CA"/>
        </w:rPr>
        <w:t xml:space="preserve"> aiguës</w:t>
      </w:r>
    </w:p>
    <w:p w:rsidR="0028636E" w:rsidRDefault="00201E49" w:rsidP="0028636E">
      <w:pPr>
        <w:pBdr>
          <w:bottom w:val="single" w:sz="4" w:space="1" w:color="auto"/>
        </w:pBdr>
        <w:spacing w:line="312" w:lineRule="auto"/>
        <w:jc w:val="center"/>
        <w:rPr>
          <w:rFonts w:ascii="Tahoma" w:hAnsi="Tahoma" w:cs="Tahoma"/>
          <w:sz w:val="24"/>
          <w:lang w:val="fr-CA"/>
        </w:rPr>
      </w:pPr>
      <w:r w:rsidRPr="00201E49">
        <w:rPr>
          <w:rFonts w:ascii="Tahoma" w:hAnsi="Tahoma" w:cs="Tahoma"/>
          <w:sz w:val="24"/>
          <w:lang w:val="fr-CA"/>
        </w:rPr>
        <w:t>Tristan St-Jean-Gamache</w:t>
      </w:r>
    </w:p>
    <w:p w:rsidR="0028636E" w:rsidRDefault="0028636E" w:rsidP="0028636E">
      <w:pPr>
        <w:pBdr>
          <w:bottom w:val="single" w:sz="4" w:space="1" w:color="auto"/>
        </w:pBdr>
        <w:spacing w:line="312" w:lineRule="auto"/>
        <w:jc w:val="center"/>
        <w:rPr>
          <w:rFonts w:ascii="Tahoma" w:hAnsi="Tahoma" w:cs="Tahoma"/>
          <w:sz w:val="24"/>
          <w:lang w:val="fr-CA"/>
        </w:rPr>
      </w:pPr>
      <w:r>
        <w:rPr>
          <w:rFonts w:ascii="Tahoma" w:hAnsi="Tahoma" w:cs="Tahoma"/>
          <w:sz w:val="24"/>
          <w:lang w:val="fr-CA"/>
        </w:rPr>
        <w:t>Hiver 2016</w:t>
      </w:r>
    </w:p>
    <w:p w:rsidR="0028636E" w:rsidRDefault="0028636E" w:rsidP="0028636E">
      <w:pPr>
        <w:pBdr>
          <w:bottom w:val="single" w:sz="4" w:space="1" w:color="auto"/>
        </w:pBdr>
        <w:spacing w:line="312" w:lineRule="auto"/>
        <w:jc w:val="center"/>
        <w:rPr>
          <w:rFonts w:ascii="Tahoma" w:hAnsi="Tahoma" w:cs="Tahoma"/>
          <w:sz w:val="24"/>
          <w:lang w:val="fr-CA"/>
        </w:rPr>
        <w:sectPr w:rsidR="0028636E" w:rsidSect="0028636E">
          <w:pgSz w:w="12240" w:h="15840" w:code="1"/>
          <w:pgMar w:top="1418" w:right="1701" w:bottom="1418" w:left="1701" w:header="709" w:footer="709" w:gutter="0"/>
          <w:pgBorders w:offsetFrom="page">
            <w:top w:val="single" w:sz="4" w:space="24" w:color="auto"/>
            <w:left w:val="single" w:sz="4" w:space="24" w:color="auto"/>
            <w:bottom w:val="single" w:sz="4" w:space="24" w:color="auto"/>
            <w:right w:val="single" w:sz="4" w:space="24" w:color="auto"/>
          </w:pgBorders>
          <w:cols w:space="708"/>
          <w:vAlign w:val="center"/>
          <w:docGrid w:linePitch="360"/>
        </w:sectPr>
      </w:pPr>
      <w:r>
        <w:rPr>
          <w:rFonts w:ascii="Tahoma" w:hAnsi="Tahoma" w:cs="Tahoma"/>
          <w:sz w:val="24"/>
          <w:lang w:val="fr-CA"/>
        </w:rPr>
        <w:t>Faculté de médecine de l’Université Laval</w:t>
      </w:r>
    </w:p>
    <w:p w:rsidR="003D4246" w:rsidRPr="00D90353" w:rsidRDefault="005D04D3" w:rsidP="0028636E">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1. L’APPROCHE CLINIQUE</w:t>
      </w:r>
    </w:p>
    <w:p w:rsidR="003B091A" w:rsidRDefault="0007704E" w:rsidP="008869C2">
      <w:pPr>
        <w:spacing w:line="312" w:lineRule="auto"/>
        <w:jc w:val="both"/>
        <w:rPr>
          <w:rFonts w:ascii="Tahoma" w:hAnsi="Tahoma" w:cs="Tahoma"/>
          <w:lang w:val="fr-CA"/>
        </w:rPr>
      </w:pPr>
      <w:r>
        <w:rPr>
          <w:rFonts w:ascii="Tahoma" w:hAnsi="Tahoma" w:cs="Tahoma"/>
          <w:lang w:val="fr-CA"/>
        </w:rPr>
        <w:t>Les maladies du foie les plus fréquentes sont les hépatites (aiguës et chroniques), la cirrhose et le carcinome hépatocellulaire.</w:t>
      </w:r>
    </w:p>
    <w:p w:rsidR="0007704E" w:rsidRDefault="0007704E" w:rsidP="008869C2">
      <w:pPr>
        <w:spacing w:line="312" w:lineRule="auto"/>
        <w:jc w:val="both"/>
        <w:rPr>
          <w:rFonts w:ascii="Tahoma" w:hAnsi="Tahoma" w:cs="Tahoma"/>
          <w:lang w:val="fr-CA"/>
        </w:rPr>
      </w:pPr>
      <w:r>
        <w:rPr>
          <w:rFonts w:ascii="Tahoma" w:hAnsi="Tahoma" w:cs="Tahoma"/>
          <w:lang w:val="fr-CA"/>
        </w:rPr>
        <w:t xml:space="preserve">L’hépatite aiguë correspond à une inflammation aiguë du foie. La plupart du temps, on la retrouve chez les patients exempts de maladie hépatique chronique, mais ce n’est pas toujours le cas. En outre, la guérison est le plus souvent </w:t>
      </w:r>
      <w:r w:rsidRPr="0007704E">
        <w:rPr>
          <w:rFonts w:ascii="Tahoma" w:hAnsi="Tahoma" w:cs="Tahoma"/>
          <w:color w:val="0070C0"/>
          <w:lang w:val="fr-CA"/>
        </w:rPr>
        <w:t>sans séquelle</w:t>
      </w:r>
      <w:r>
        <w:rPr>
          <w:rFonts w:ascii="Tahoma" w:hAnsi="Tahoma" w:cs="Tahoma"/>
          <w:lang w:val="fr-CA"/>
        </w:rPr>
        <w:t>.</w:t>
      </w:r>
    </w:p>
    <w:p w:rsidR="0007704E" w:rsidRDefault="0007704E" w:rsidP="008869C2">
      <w:pPr>
        <w:spacing w:line="312" w:lineRule="auto"/>
        <w:jc w:val="both"/>
        <w:rPr>
          <w:rFonts w:ascii="Tahoma" w:hAnsi="Tahoma" w:cs="Tahoma"/>
          <w:lang w:val="fr-CA"/>
        </w:rPr>
      </w:pPr>
      <w:r>
        <w:rPr>
          <w:rFonts w:ascii="Tahoma" w:hAnsi="Tahoma" w:cs="Tahoma"/>
          <w:lang w:val="fr-CA"/>
        </w:rPr>
        <w:t>Le site prédominant de l’inflammation de l’hépatite aiguë peut varier et oriente le type de perturbation du bilan hépatique. Si ce sont les hépatocytes des lobules hépatiques qui sont atteints, il y aura cytolyse</w:t>
      </w:r>
      <w:r>
        <w:rPr>
          <w:rStyle w:val="Appelnotedebasdep"/>
          <w:rFonts w:ascii="Tahoma" w:hAnsi="Tahoma" w:cs="Tahoma"/>
          <w:lang w:val="fr-CA"/>
        </w:rPr>
        <w:footnoteReference w:id="1"/>
      </w:r>
      <w:r>
        <w:rPr>
          <w:rFonts w:ascii="Tahoma" w:hAnsi="Tahoma" w:cs="Tahoma"/>
          <w:lang w:val="fr-CA"/>
        </w:rPr>
        <w:t xml:space="preserve">, ce qui provoquera une augmentation des </w:t>
      </w:r>
      <w:r w:rsidRPr="0007704E">
        <w:rPr>
          <w:rFonts w:ascii="Tahoma" w:hAnsi="Tahoma" w:cs="Tahoma"/>
          <w:color w:val="0070C0"/>
          <w:lang w:val="fr-CA"/>
        </w:rPr>
        <w:t xml:space="preserve">transaminases sériques </w:t>
      </w:r>
      <w:r>
        <w:rPr>
          <w:rFonts w:ascii="Tahoma" w:hAnsi="Tahoma" w:cs="Tahoma"/>
          <w:lang w:val="fr-CA"/>
        </w:rPr>
        <w:t xml:space="preserve">(AST et ALT). Si ce sont plutôt les canalicules biliaires qui sont atteints, il y aura cholestase, ce qui provoquera une augmentation de la </w:t>
      </w:r>
      <w:r w:rsidRPr="0007704E">
        <w:rPr>
          <w:rFonts w:ascii="Tahoma" w:hAnsi="Tahoma" w:cs="Tahoma"/>
          <w:color w:val="0070C0"/>
          <w:lang w:val="fr-CA"/>
        </w:rPr>
        <w:t xml:space="preserve">phosphatase alcaline </w:t>
      </w:r>
      <w:r>
        <w:rPr>
          <w:rFonts w:ascii="Tahoma" w:hAnsi="Tahoma" w:cs="Tahoma"/>
          <w:lang w:val="fr-CA"/>
        </w:rPr>
        <w:t>sérique. Il est important de vérifier quelles enzymes sont élevées avant de poursuivre l’algorithme diagnostic.</w:t>
      </w:r>
    </w:p>
    <w:p w:rsidR="0007704E" w:rsidRDefault="00730C93" w:rsidP="008869C2">
      <w:pPr>
        <w:spacing w:line="312" w:lineRule="auto"/>
        <w:jc w:val="both"/>
        <w:rPr>
          <w:rFonts w:ascii="Tahoma" w:hAnsi="Tahoma" w:cs="Tahoma"/>
          <w:lang w:val="fr-CA"/>
        </w:rPr>
      </w:pPr>
      <w:r>
        <w:rPr>
          <w:rFonts w:ascii="Tahoma" w:hAnsi="Tahoma" w:cs="Tahoma"/>
          <w:lang w:val="fr-CA"/>
        </w:rPr>
        <w:t xml:space="preserve">Le degré d’élévation des enzymes hépatiques n’est pas forcément relié au degré d’insuffisance hépatique. Le foie est un organe qui possède une capacité de régénération, donc l’agression aiguë stimulera les hépatocytes à entrer dans le cycle cellulaire, </w:t>
      </w:r>
      <w:r w:rsidRPr="00730C93">
        <w:rPr>
          <w:rFonts w:ascii="Tahoma" w:hAnsi="Tahoma" w:cs="Tahoma"/>
          <w:lang w:val="fr-CA"/>
        </w:rPr>
        <w:t>l'ensemble des étapes qui constituent et délimitent la vie d'une cellule.</w:t>
      </w:r>
    </w:p>
    <w:p w:rsidR="00730C93" w:rsidRDefault="00730C93" w:rsidP="008869C2">
      <w:pPr>
        <w:spacing w:line="312" w:lineRule="auto"/>
        <w:jc w:val="both"/>
        <w:rPr>
          <w:rFonts w:ascii="Tahoma" w:hAnsi="Tahoma" w:cs="Tahoma"/>
          <w:lang w:val="fr-CA"/>
        </w:rPr>
      </w:pPr>
      <w:r>
        <w:rPr>
          <w:rFonts w:ascii="Tahoma" w:hAnsi="Tahoma" w:cs="Tahoma"/>
          <w:lang w:val="fr-CA"/>
        </w:rPr>
        <w:t xml:space="preserve">La présentation clinique de l’hépatite aiguë est variable et dépend de l’étiologie et de la sévérité de l’atteinte hépatique. Le tableau clinique </w:t>
      </w:r>
      <w:r w:rsidRPr="005937D1">
        <w:rPr>
          <w:rFonts w:ascii="Tahoma" w:hAnsi="Tahoma" w:cs="Tahoma"/>
          <w:color w:val="0070C0"/>
          <w:lang w:val="fr-CA"/>
        </w:rPr>
        <w:t>varie</w:t>
      </w:r>
      <w:r>
        <w:rPr>
          <w:rFonts w:ascii="Tahoma" w:hAnsi="Tahoma" w:cs="Tahoma"/>
          <w:lang w:val="fr-CA"/>
        </w:rPr>
        <w:t xml:space="preserve"> entre l’absence de symptômes et l’insuffisance hépatique fulminante. Il pourra inclure :</w:t>
      </w:r>
    </w:p>
    <w:p w:rsidR="00730C93" w:rsidRDefault="00730C93" w:rsidP="00730C93">
      <w:pPr>
        <w:pStyle w:val="Paragraphedeliste"/>
        <w:numPr>
          <w:ilvl w:val="0"/>
          <w:numId w:val="15"/>
        </w:numPr>
        <w:spacing w:line="312" w:lineRule="auto"/>
        <w:jc w:val="both"/>
        <w:rPr>
          <w:rFonts w:ascii="Tahoma" w:hAnsi="Tahoma" w:cs="Tahoma"/>
          <w:lang w:val="fr-CA"/>
        </w:rPr>
        <w:sectPr w:rsidR="00730C93" w:rsidSect="0028636E">
          <w:headerReference w:type="default" r:id="rId8"/>
          <w:pgSz w:w="12240" w:h="15840"/>
          <w:pgMar w:top="1418" w:right="1701" w:bottom="1418" w:left="1701" w:header="709" w:footer="709" w:gutter="0"/>
          <w:pgNumType w:fmt="upperRoman" w:start="1"/>
          <w:cols w:space="708"/>
          <w:docGrid w:linePitch="360"/>
        </w:sectPr>
      </w:pPr>
    </w:p>
    <w:p w:rsidR="00730C93" w:rsidRDefault="00730C93" w:rsidP="00730C93">
      <w:pPr>
        <w:pStyle w:val="Paragraphedeliste"/>
        <w:numPr>
          <w:ilvl w:val="0"/>
          <w:numId w:val="15"/>
        </w:numPr>
        <w:spacing w:line="312" w:lineRule="auto"/>
        <w:jc w:val="both"/>
        <w:rPr>
          <w:rFonts w:ascii="Tahoma" w:hAnsi="Tahoma" w:cs="Tahoma"/>
          <w:lang w:val="fr-CA"/>
        </w:rPr>
      </w:pPr>
      <w:r>
        <w:rPr>
          <w:rFonts w:ascii="Tahoma" w:hAnsi="Tahoma" w:cs="Tahoma"/>
          <w:lang w:val="fr-CA"/>
        </w:rPr>
        <w:t>De l’ictère ;</w:t>
      </w:r>
    </w:p>
    <w:p w:rsidR="00730C93" w:rsidRDefault="00730C93" w:rsidP="00730C93">
      <w:pPr>
        <w:pStyle w:val="Paragraphedeliste"/>
        <w:numPr>
          <w:ilvl w:val="0"/>
          <w:numId w:val="15"/>
        </w:numPr>
        <w:spacing w:line="312" w:lineRule="auto"/>
        <w:jc w:val="both"/>
        <w:rPr>
          <w:rFonts w:ascii="Tahoma" w:hAnsi="Tahoma" w:cs="Tahoma"/>
          <w:lang w:val="fr-CA"/>
        </w:rPr>
      </w:pPr>
      <w:r>
        <w:rPr>
          <w:rFonts w:ascii="Tahoma" w:hAnsi="Tahoma" w:cs="Tahoma"/>
          <w:lang w:val="fr-CA"/>
        </w:rPr>
        <w:t>Des urines foncées ;</w:t>
      </w:r>
    </w:p>
    <w:p w:rsidR="00730C93" w:rsidRDefault="00730C93" w:rsidP="00730C93">
      <w:pPr>
        <w:pStyle w:val="Paragraphedeliste"/>
        <w:numPr>
          <w:ilvl w:val="0"/>
          <w:numId w:val="15"/>
        </w:numPr>
        <w:spacing w:line="312" w:lineRule="auto"/>
        <w:jc w:val="both"/>
        <w:rPr>
          <w:rFonts w:ascii="Tahoma" w:hAnsi="Tahoma" w:cs="Tahoma"/>
          <w:lang w:val="fr-CA"/>
        </w:rPr>
      </w:pPr>
      <w:r>
        <w:rPr>
          <w:rFonts w:ascii="Tahoma" w:hAnsi="Tahoma" w:cs="Tahoma"/>
          <w:lang w:val="fr-CA"/>
        </w:rPr>
        <w:t>Des selles pâles ;</w:t>
      </w:r>
    </w:p>
    <w:p w:rsidR="00730C93" w:rsidRDefault="00730C93" w:rsidP="00730C93">
      <w:pPr>
        <w:pStyle w:val="Paragraphedeliste"/>
        <w:numPr>
          <w:ilvl w:val="0"/>
          <w:numId w:val="15"/>
        </w:numPr>
        <w:spacing w:line="312" w:lineRule="auto"/>
        <w:jc w:val="both"/>
        <w:rPr>
          <w:rFonts w:ascii="Tahoma" w:hAnsi="Tahoma" w:cs="Tahoma"/>
          <w:lang w:val="fr-CA"/>
        </w:rPr>
      </w:pPr>
      <w:r>
        <w:rPr>
          <w:rFonts w:ascii="Tahoma" w:hAnsi="Tahoma" w:cs="Tahoma"/>
          <w:lang w:val="fr-CA"/>
        </w:rPr>
        <w:t>Une atteinte de l’état général ;</w:t>
      </w:r>
    </w:p>
    <w:p w:rsidR="00730C93" w:rsidRDefault="00730C93" w:rsidP="00730C93">
      <w:pPr>
        <w:pStyle w:val="Paragraphedeliste"/>
        <w:numPr>
          <w:ilvl w:val="0"/>
          <w:numId w:val="15"/>
        </w:numPr>
        <w:spacing w:line="312" w:lineRule="auto"/>
        <w:jc w:val="both"/>
        <w:rPr>
          <w:rFonts w:ascii="Tahoma" w:hAnsi="Tahoma" w:cs="Tahoma"/>
          <w:lang w:val="fr-CA"/>
        </w:rPr>
      </w:pPr>
      <w:r>
        <w:rPr>
          <w:rFonts w:ascii="Tahoma" w:hAnsi="Tahoma" w:cs="Tahoma"/>
          <w:lang w:val="fr-CA"/>
        </w:rPr>
        <w:t>De l’anorexie ;</w:t>
      </w:r>
    </w:p>
    <w:p w:rsidR="00730C93" w:rsidRDefault="00730C93" w:rsidP="00730C93">
      <w:pPr>
        <w:pStyle w:val="Paragraphedeliste"/>
        <w:numPr>
          <w:ilvl w:val="0"/>
          <w:numId w:val="15"/>
        </w:numPr>
        <w:spacing w:line="312" w:lineRule="auto"/>
        <w:jc w:val="both"/>
        <w:rPr>
          <w:rFonts w:ascii="Tahoma" w:hAnsi="Tahoma" w:cs="Tahoma"/>
          <w:lang w:val="fr-CA"/>
        </w:rPr>
      </w:pPr>
      <w:r>
        <w:rPr>
          <w:rFonts w:ascii="Tahoma" w:hAnsi="Tahoma" w:cs="Tahoma"/>
          <w:lang w:val="fr-CA"/>
        </w:rPr>
        <w:t>Un malaise à l’hypocondre droit ;</w:t>
      </w:r>
    </w:p>
    <w:p w:rsidR="00730C93" w:rsidRDefault="00730C93" w:rsidP="00730C93">
      <w:pPr>
        <w:pStyle w:val="Paragraphedeliste"/>
        <w:numPr>
          <w:ilvl w:val="0"/>
          <w:numId w:val="15"/>
        </w:numPr>
        <w:spacing w:line="312" w:lineRule="auto"/>
        <w:jc w:val="both"/>
        <w:rPr>
          <w:rFonts w:ascii="Tahoma" w:hAnsi="Tahoma" w:cs="Tahoma"/>
          <w:lang w:val="fr-CA"/>
        </w:rPr>
      </w:pPr>
      <w:r>
        <w:rPr>
          <w:rFonts w:ascii="Tahoma" w:hAnsi="Tahoma" w:cs="Tahoma"/>
          <w:lang w:val="fr-CA"/>
        </w:rPr>
        <w:t>Un syndrome viral</w:t>
      </w:r>
      <w:r>
        <w:rPr>
          <w:rStyle w:val="Appelnotedebasdep"/>
          <w:rFonts w:ascii="Tahoma" w:hAnsi="Tahoma" w:cs="Tahoma"/>
          <w:lang w:val="fr-CA"/>
        </w:rPr>
        <w:footnoteReference w:id="2"/>
      </w:r>
      <w:r>
        <w:rPr>
          <w:rFonts w:ascii="Tahoma" w:hAnsi="Tahoma" w:cs="Tahoma"/>
          <w:lang w:val="fr-CA"/>
        </w:rPr>
        <w:t xml:space="preserve"> ;</w:t>
      </w:r>
    </w:p>
    <w:p w:rsidR="00730C93" w:rsidRDefault="00730C93" w:rsidP="00730C93">
      <w:pPr>
        <w:pStyle w:val="Paragraphedeliste"/>
        <w:numPr>
          <w:ilvl w:val="0"/>
          <w:numId w:val="15"/>
        </w:numPr>
        <w:spacing w:line="312" w:lineRule="auto"/>
        <w:jc w:val="both"/>
        <w:rPr>
          <w:rFonts w:ascii="Tahoma" w:hAnsi="Tahoma" w:cs="Tahoma"/>
          <w:lang w:val="fr-CA"/>
        </w:rPr>
      </w:pPr>
      <w:r>
        <w:rPr>
          <w:rFonts w:ascii="Tahoma" w:hAnsi="Tahoma" w:cs="Tahoma"/>
          <w:lang w:val="fr-CA"/>
        </w:rPr>
        <w:t>Une encéphalopathie hépatique ;</w:t>
      </w:r>
    </w:p>
    <w:p w:rsidR="00730C93" w:rsidRDefault="00730C93" w:rsidP="00730C93">
      <w:pPr>
        <w:pStyle w:val="Paragraphedeliste"/>
        <w:numPr>
          <w:ilvl w:val="0"/>
          <w:numId w:val="15"/>
        </w:numPr>
        <w:spacing w:line="312" w:lineRule="auto"/>
        <w:jc w:val="both"/>
        <w:rPr>
          <w:rFonts w:ascii="Tahoma" w:hAnsi="Tahoma" w:cs="Tahoma"/>
          <w:lang w:val="fr-CA"/>
        </w:rPr>
      </w:pPr>
      <w:r>
        <w:rPr>
          <w:rFonts w:ascii="Tahoma" w:hAnsi="Tahoma" w:cs="Tahoma"/>
          <w:lang w:val="fr-CA"/>
        </w:rPr>
        <w:t>Une insuffisance rénale ;</w:t>
      </w:r>
    </w:p>
    <w:p w:rsidR="00730C93" w:rsidRDefault="00730C93" w:rsidP="00730C93">
      <w:pPr>
        <w:pStyle w:val="Paragraphedeliste"/>
        <w:numPr>
          <w:ilvl w:val="0"/>
          <w:numId w:val="15"/>
        </w:numPr>
        <w:spacing w:line="312" w:lineRule="auto"/>
        <w:jc w:val="both"/>
        <w:rPr>
          <w:rFonts w:ascii="Tahoma" w:hAnsi="Tahoma" w:cs="Tahoma"/>
          <w:lang w:val="fr-CA"/>
        </w:rPr>
      </w:pPr>
      <w:r>
        <w:rPr>
          <w:rFonts w:ascii="Tahoma" w:hAnsi="Tahoma" w:cs="Tahoma"/>
          <w:lang w:val="fr-CA"/>
        </w:rPr>
        <w:t>Une hypoglycémie.</w:t>
      </w:r>
    </w:p>
    <w:p w:rsidR="00730C93" w:rsidRDefault="00730C93" w:rsidP="00730C93">
      <w:pPr>
        <w:spacing w:line="312" w:lineRule="auto"/>
        <w:jc w:val="both"/>
        <w:rPr>
          <w:rFonts w:ascii="Tahoma" w:hAnsi="Tahoma" w:cs="Tahoma"/>
          <w:lang w:val="fr-CA"/>
        </w:rPr>
        <w:sectPr w:rsidR="00730C93" w:rsidSect="00730C93">
          <w:type w:val="continuous"/>
          <w:pgSz w:w="12240" w:h="15840"/>
          <w:pgMar w:top="1418" w:right="1701" w:bottom="1418" w:left="1701" w:header="709" w:footer="709" w:gutter="0"/>
          <w:pgNumType w:fmt="upperRoman" w:start="1"/>
          <w:cols w:num="2" w:space="708"/>
          <w:docGrid w:linePitch="360"/>
        </w:sectPr>
      </w:pPr>
    </w:p>
    <w:p w:rsidR="00730C93" w:rsidRDefault="00730C93" w:rsidP="00730C93">
      <w:pPr>
        <w:spacing w:line="312" w:lineRule="auto"/>
        <w:jc w:val="both"/>
        <w:rPr>
          <w:rFonts w:ascii="Tahoma" w:hAnsi="Tahoma" w:cs="Tahoma"/>
          <w:lang w:val="fr-CA"/>
        </w:rPr>
      </w:pPr>
      <w:r>
        <w:rPr>
          <w:rFonts w:ascii="Tahoma" w:hAnsi="Tahoma" w:cs="Tahoma"/>
          <w:lang w:val="fr-CA"/>
        </w:rPr>
        <w:t xml:space="preserve">Les trois derniers éléments sont associés à l’insuffisance hépatique aiguë, qui correspond à une </w:t>
      </w:r>
      <w:r w:rsidRPr="001808CF">
        <w:rPr>
          <w:rFonts w:ascii="Tahoma" w:hAnsi="Tahoma" w:cs="Tahoma"/>
          <w:color w:val="0070C0"/>
          <w:lang w:val="fr-CA"/>
        </w:rPr>
        <w:t>altération des fonctions du foie</w:t>
      </w:r>
      <w:r>
        <w:rPr>
          <w:rFonts w:ascii="Tahoma" w:hAnsi="Tahoma" w:cs="Tahoma"/>
          <w:lang w:val="fr-CA"/>
        </w:rPr>
        <w:t>, dont font partie le métabolisme et l’excrétion de la bile, la détoxification et le métabolisme de certains médicaments, la synthèse protéique (facteurs de coagulation et albumine, entre autres), la dégradation du NH</w:t>
      </w:r>
      <w:r w:rsidRPr="00730C93">
        <w:rPr>
          <w:rFonts w:ascii="Tahoma" w:hAnsi="Tahoma" w:cs="Tahoma"/>
          <w:vertAlign w:val="subscript"/>
          <w:lang w:val="fr-CA"/>
        </w:rPr>
        <w:t>3</w:t>
      </w:r>
      <w:r>
        <w:rPr>
          <w:rFonts w:ascii="Tahoma" w:hAnsi="Tahoma" w:cs="Tahoma"/>
          <w:lang w:val="fr-CA"/>
        </w:rPr>
        <w:t xml:space="preserve"> et la néoglucogenèse</w:t>
      </w:r>
      <w:r>
        <w:rPr>
          <w:rStyle w:val="Appelnotedebasdep"/>
          <w:rFonts w:ascii="Tahoma" w:hAnsi="Tahoma" w:cs="Tahoma"/>
          <w:lang w:val="fr-CA"/>
        </w:rPr>
        <w:footnoteReference w:id="3"/>
      </w:r>
      <w:r>
        <w:rPr>
          <w:rFonts w:ascii="Tahoma" w:hAnsi="Tahoma" w:cs="Tahoma"/>
          <w:lang w:val="fr-CA"/>
        </w:rPr>
        <w:t>.</w:t>
      </w:r>
    </w:p>
    <w:p w:rsidR="00730C93" w:rsidRDefault="00730C93" w:rsidP="00730C93">
      <w:pPr>
        <w:spacing w:line="312" w:lineRule="auto"/>
        <w:jc w:val="both"/>
        <w:rPr>
          <w:rFonts w:ascii="Tahoma" w:hAnsi="Tahoma" w:cs="Tahoma"/>
          <w:lang w:val="fr-CA"/>
        </w:rPr>
      </w:pPr>
      <w:r>
        <w:rPr>
          <w:rFonts w:ascii="Tahoma" w:hAnsi="Tahoma" w:cs="Tahoma"/>
          <w:lang w:val="fr-CA"/>
        </w:rPr>
        <w:t xml:space="preserve">En cas d’insuffisance hépatique, il y </w:t>
      </w:r>
      <w:r w:rsidR="00DF7F28">
        <w:rPr>
          <w:rFonts w:ascii="Tahoma" w:hAnsi="Tahoma" w:cs="Tahoma"/>
          <w:lang w:val="fr-CA"/>
        </w:rPr>
        <w:t>aura une atteinte du métabolisme</w:t>
      </w:r>
      <w:r>
        <w:rPr>
          <w:rFonts w:ascii="Tahoma" w:hAnsi="Tahoma" w:cs="Tahoma"/>
          <w:lang w:val="fr-CA"/>
        </w:rPr>
        <w:t xml:space="preserve"> et de l’excrétion de la bilirubine, ce qui entraînera de l’ictère. Il aura également une coagulopathie résultant en </w:t>
      </w:r>
      <w:r>
        <w:rPr>
          <w:rFonts w:ascii="Tahoma" w:hAnsi="Tahoma" w:cs="Tahoma"/>
          <w:lang w:val="fr-CA"/>
        </w:rPr>
        <w:lastRenderedPageBreak/>
        <w:t>une augmentation de l’INR et des risques de saignement. En outre, en raison de la diminution de la synthèse de l’albumine, il peut y avoir de l’œdème. De plus, la diminution de la détoxification</w:t>
      </w:r>
      <w:r w:rsidR="001808CF">
        <w:rPr>
          <w:rFonts w:ascii="Tahoma" w:hAnsi="Tahoma" w:cs="Tahoma"/>
          <w:lang w:val="fr-CA"/>
        </w:rPr>
        <w:t>, associée à une capacité diminuée de dégrader l’ammoniac, peut causer une encéphalopathie hépatique. Finalement, l’altération de la néoglucogenèse est responsable de l’hypoglycémie parfois observée dans les cas d’insuffisance hépatique.</w:t>
      </w:r>
    </w:p>
    <w:p w:rsidR="001808CF" w:rsidRDefault="001808CF" w:rsidP="00730C93">
      <w:pPr>
        <w:spacing w:line="312" w:lineRule="auto"/>
        <w:jc w:val="both"/>
        <w:rPr>
          <w:rFonts w:ascii="Tahoma" w:hAnsi="Tahoma" w:cs="Tahoma"/>
          <w:lang w:val="fr-CA"/>
        </w:rPr>
      </w:pPr>
      <w:r>
        <w:rPr>
          <w:rFonts w:ascii="Tahoma" w:hAnsi="Tahoma" w:cs="Tahoma"/>
          <w:lang w:val="fr-CA"/>
        </w:rPr>
        <w:t>L’</w:t>
      </w:r>
      <w:r w:rsidRPr="001808CF">
        <w:rPr>
          <w:rFonts w:ascii="Tahoma" w:hAnsi="Tahoma" w:cs="Tahoma"/>
          <w:color w:val="0070C0"/>
          <w:lang w:val="fr-CA"/>
        </w:rPr>
        <w:t xml:space="preserve">hépatite fulminante </w:t>
      </w:r>
      <w:r>
        <w:rPr>
          <w:rFonts w:ascii="Tahoma" w:hAnsi="Tahoma" w:cs="Tahoma"/>
          <w:lang w:val="fr-CA"/>
        </w:rPr>
        <w:t>est</w:t>
      </w:r>
      <w:r w:rsidRPr="001808CF">
        <w:rPr>
          <w:rFonts w:ascii="Tahoma" w:hAnsi="Tahoma" w:cs="Tahoma"/>
          <w:lang w:val="fr-CA"/>
        </w:rPr>
        <w:t xml:space="preserve"> une altération aiguë grave de la fonction hépatocellulaire</w:t>
      </w:r>
      <w:r>
        <w:rPr>
          <w:rFonts w:ascii="Tahoma" w:hAnsi="Tahoma" w:cs="Tahoma"/>
          <w:lang w:val="fr-CA"/>
        </w:rPr>
        <w:t xml:space="preserve"> survenant à la suite de </w:t>
      </w:r>
      <w:r w:rsidRPr="001808CF">
        <w:rPr>
          <w:rFonts w:ascii="Tahoma" w:hAnsi="Tahoma" w:cs="Tahoma"/>
          <w:lang w:val="fr-CA"/>
        </w:rPr>
        <w:t>troubles majeurs de l'hémostase</w:t>
      </w:r>
      <w:r>
        <w:rPr>
          <w:rFonts w:ascii="Tahoma" w:hAnsi="Tahoma" w:cs="Tahoma"/>
          <w:lang w:val="fr-CA"/>
        </w:rPr>
        <w:t xml:space="preserve"> et dont le pronostic est</w:t>
      </w:r>
      <w:r w:rsidRPr="001808CF">
        <w:rPr>
          <w:rFonts w:ascii="Tahoma" w:hAnsi="Tahoma" w:cs="Tahoma"/>
          <w:lang w:val="fr-CA"/>
        </w:rPr>
        <w:t xml:space="preserve"> sévère</w:t>
      </w:r>
      <w:r>
        <w:rPr>
          <w:rFonts w:ascii="Tahoma" w:hAnsi="Tahoma" w:cs="Tahoma"/>
          <w:lang w:val="fr-CA"/>
        </w:rPr>
        <w:t>. Elle peut être :</w:t>
      </w:r>
    </w:p>
    <w:p w:rsidR="001808CF" w:rsidRDefault="001808CF" w:rsidP="001808CF">
      <w:pPr>
        <w:pStyle w:val="Paragraphedeliste"/>
        <w:numPr>
          <w:ilvl w:val="0"/>
          <w:numId w:val="16"/>
        </w:numPr>
        <w:spacing w:line="312" w:lineRule="auto"/>
        <w:jc w:val="both"/>
        <w:rPr>
          <w:rFonts w:ascii="Tahoma" w:hAnsi="Tahoma" w:cs="Tahoma"/>
          <w:lang w:val="fr-CA"/>
        </w:rPr>
      </w:pPr>
      <w:r>
        <w:rPr>
          <w:rFonts w:ascii="Tahoma" w:hAnsi="Tahoma" w:cs="Tahoma"/>
          <w:lang w:val="fr-CA"/>
        </w:rPr>
        <w:t>Hyperaiguë, si l’intervalle entre l’ictère et l’apparition d’encéphalopathie hépatique est inférieure à 7 jours, cas dans lequel le foie a tendance à bien récupérer ;</w:t>
      </w:r>
    </w:p>
    <w:p w:rsidR="001808CF" w:rsidRDefault="001808CF" w:rsidP="001808CF">
      <w:pPr>
        <w:pStyle w:val="Paragraphedeliste"/>
        <w:numPr>
          <w:ilvl w:val="0"/>
          <w:numId w:val="16"/>
        </w:numPr>
        <w:spacing w:line="312" w:lineRule="auto"/>
        <w:jc w:val="both"/>
        <w:rPr>
          <w:rFonts w:ascii="Tahoma" w:hAnsi="Tahoma" w:cs="Tahoma"/>
          <w:lang w:val="fr-CA"/>
        </w:rPr>
      </w:pPr>
      <w:r>
        <w:rPr>
          <w:rFonts w:ascii="Tahoma" w:hAnsi="Tahoma" w:cs="Tahoma"/>
          <w:lang w:val="fr-CA"/>
        </w:rPr>
        <w:t>Aiguë, si l’intervalle est de moins de 8 semaines mais de plus d’une semaine ;</w:t>
      </w:r>
    </w:p>
    <w:p w:rsidR="001808CF" w:rsidRDefault="001808CF" w:rsidP="001808CF">
      <w:pPr>
        <w:pStyle w:val="Paragraphedeliste"/>
        <w:numPr>
          <w:ilvl w:val="0"/>
          <w:numId w:val="16"/>
        </w:numPr>
        <w:spacing w:line="312" w:lineRule="auto"/>
        <w:jc w:val="both"/>
        <w:rPr>
          <w:rFonts w:ascii="Tahoma" w:hAnsi="Tahoma" w:cs="Tahoma"/>
          <w:lang w:val="fr-CA"/>
        </w:rPr>
      </w:pPr>
      <w:r>
        <w:rPr>
          <w:rFonts w:ascii="Tahoma" w:hAnsi="Tahoma" w:cs="Tahoma"/>
          <w:lang w:val="fr-CA"/>
        </w:rPr>
        <w:t>Subaiguë, si l’intervalle est inférieur à 24 semaine</w:t>
      </w:r>
      <w:r w:rsidR="00DF7F28">
        <w:rPr>
          <w:rFonts w:ascii="Tahoma" w:hAnsi="Tahoma" w:cs="Tahoma"/>
          <w:lang w:val="fr-CA"/>
        </w:rPr>
        <w:t>s</w:t>
      </w:r>
      <w:r>
        <w:rPr>
          <w:rFonts w:ascii="Tahoma" w:hAnsi="Tahoma" w:cs="Tahoma"/>
          <w:lang w:val="fr-CA"/>
        </w:rPr>
        <w:t xml:space="preserve"> mais supérieur à 8 semaines, cas dans lequel le pronostic est moins bon (greffe hépatique plus souvent nécessaire).</w:t>
      </w:r>
    </w:p>
    <w:p w:rsidR="001808CF" w:rsidRDefault="001808CF" w:rsidP="001808CF">
      <w:pPr>
        <w:spacing w:line="312" w:lineRule="auto"/>
        <w:jc w:val="both"/>
        <w:rPr>
          <w:rFonts w:ascii="Tahoma" w:hAnsi="Tahoma" w:cs="Tahoma"/>
          <w:lang w:val="fr-CA"/>
        </w:rPr>
      </w:pPr>
      <w:r>
        <w:rPr>
          <w:rFonts w:ascii="Tahoma" w:hAnsi="Tahoma" w:cs="Tahoma"/>
          <w:lang w:val="fr-CA"/>
        </w:rPr>
        <w:t xml:space="preserve">Chacun des trois types d’hépatite fulminante est associé à des </w:t>
      </w:r>
      <w:r w:rsidRPr="00FD2B1B">
        <w:rPr>
          <w:rFonts w:ascii="Tahoma" w:hAnsi="Tahoma" w:cs="Tahoma"/>
          <w:color w:val="0070C0"/>
          <w:lang w:val="fr-CA"/>
        </w:rPr>
        <w:t>causes différentes</w:t>
      </w:r>
      <w:r>
        <w:rPr>
          <w:rFonts w:ascii="Tahoma" w:hAnsi="Tahoma" w:cs="Tahoma"/>
          <w:lang w:val="fr-CA"/>
        </w:rPr>
        <w:t>.</w:t>
      </w:r>
    </w:p>
    <w:p w:rsidR="001808CF" w:rsidRDefault="001215ED" w:rsidP="001808CF">
      <w:pPr>
        <w:spacing w:line="312" w:lineRule="auto"/>
        <w:jc w:val="both"/>
        <w:rPr>
          <w:rFonts w:ascii="Tahoma" w:hAnsi="Tahoma" w:cs="Tahoma"/>
          <w:lang w:val="fr-CA"/>
        </w:rPr>
      </w:pPr>
      <w:r>
        <w:rPr>
          <w:rFonts w:ascii="Tahoma" w:hAnsi="Tahoma" w:cs="Tahoma"/>
          <w:lang w:val="fr-CA"/>
        </w:rPr>
        <w:t xml:space="preserve">Les </w:t>
      </w:r>
      <w:r w:rsidR="00DF7F28">
        <w:rPr>
          <w:rFonts w:ascii="Tahoma" w:hAnsi="Tahoma" w:cs="Tahoma"/>
          <w:lang w:val="fr-CA"/>
        </w:rPr>
        <w:t>hépatites aiguë</w:t>
      </w:r>
      <w:r w:rsidR="001808CF">
        <w:rPr>
          <w:rFonts w:ascii="Tahoma" w:hAnsi="Tahoma" w:cs="Tahoma"/>
          <w:lang w:val="fr-CA"/>
        </w:rPr>
        <w:t>s incluent :</w:t>
      </w:r>
    </w:p>
    <w:p w:rsidR="001808CF" w:rsidRDefault="001808CF" w:rsidP="001808CF">
      <w:pPr>
        <w:pStyle w:val="Paragraphedeliste"/>
        <w:numPr>
          <w:ilvl w:val="0"/>
          <w:numId w:val="17"/>
        </w:numPr>
        <w:spacing w:line="312" w:lineRule="auto"/>
        <w:jc w:val="both"/>
        <w:rPr>
          <w:rFonts w:ascii="Tahoma" w:hAnsi="Tahoma" w:cs="Tahoma"/>
          <w:lang w:val="fr-CA"/>
        </w:rPr>
      </w:pPr>
      <w:r>
        <w:rPr>
          <w:rFonts w:ascii="Tahoma" w:hAnsi="Tahoma" w:cs="Tahoma"/>
          <w:lang w:val="fr-CA"/>
        </w:rPr>
        <w:t>Les hépatites virales</w:t>
      </w:r>
      <w:r w:rsidR="001215ED">
        <w:rPr>
          <w:rFonts w:ascii="Tahoma" w:hAnsi="Tahoma" w:cs="Tahoma"/>
          <w:lang w:val="fr-CA"/>
        </w:rPr>
        <w:t xml:space="preserve"> hépatotropiques (A, B, C, D, E) ;</w:t>
      </w:r>
    </w:p>
    <w:p w:rsidR="001215ED" w:rsidRDefault="001215ED" w:rsidP="001215ED">
      <w:pPr>
        <w:pStyle w:val="Paragraphedeliste"/>
        <w:numPr>
          <w:ilvl w:val="0"/>
          <w:numId w:val="17"/>
        </w:numPr>
        <w:spacing w:line="312" w:lineRule="auto"/>
        <w:jc w:val="both"/>
        <w:rPr>
          <w:rFonts w:ascii="Tahoma" w:hAnsi="Tahoma" w:cs="Tahoma"/>
          <w:lang w:val="fr-CA"/>
        </w:rPr>
      </w:pPr>
      <w:r>
        <w:rPr>
          <w:rFonts w:ascii="Tahoma" w:hAnsi="Tahoma" w:cs="Tahoma"/>
          <w:lang w:val="fr-CA"/>
        </w:rPr>
        <w:t>Les hépatiques virales dues à des virus systémiques (virus Epstein-Barr, adénovirus, cytomégalovirus</w:t>
      </w:r>
      <w:r>
        <w:rPr>
          <w:rStyle w:val="Appelnotedebasdep"/>
          <w:rFonts w:ascii="Tahoma" w:hAnsi="Tahoma" w:cs="Tahoma"/>
          <w:lang w:val="fr-CA"/>
        </w:rPr>
        <w:footnoteReference w:id="4"/>
      </w:r>
      <w:r>
        <w:rPr>
          <w:rFonts w:ascii="Tahoma" w:hAnsi="Tahoma" w:cs="Tahoma"/>
          <w:lang w:val="fr-CA"/>
        </w:rPr>
        <w:t>, virus de l’herpès, parvovirus B</w:t>
      </w:r>
      <w:r w:rsidRPr="001215ED">
        <w:rPr>
          <w:rFonts w:ascii="Tahoma" w:hAnsi="Tahoma" w:cs="Tahoma"/>
          <w:lang w:val="fr-CA"/>
        </w:rPr>
        <w:t>19</w:t>
      </w:r>
      <w:r>
        <w:rPr>
          <w:rFonts w:ascii="Tahoma" w:hAnsi="Tahoma" w:cs="Tahoma"/>
          <w:lang w:val="fr-CA"/>
        </w:rPr>
        <w:t>,</w:t>
      </w:r>
      <w:r w:rsidRPr="001215ED">
        <w:rPr>
          <w:rFonts w:ascii="Tahoma" w:hAnsi="Tahoma" w:cs="Tahoma"/>
          <w:lang w:val="fr-CA"/>
        </w:rPr>
        <w:t xml:space="preserve"> </w:t>
      </w:r>
      <w:r>
        <w:rPr>
          <w:rFonts w:ascii="Tahoma" w:hAnsi="Tahoma" w:cs="Tahoma"/>
          <w:lang w:val="fr-CA"/>
        </w:rPr>
        <w:t>virus varicelle</w:t>
      </w:r>
      <w:r>
        <w:rPr>
          <w:rFonts w:ascii="Tahoma" w:hAnsi="Tahoma" w:cs="Tahoma"/>
          <w:lang w:val="fr-CA"/>
        </w:rPr>
        <w:noBreakHyphen/>
        <w:t>zona, entérovirus, virus de l’immunodéficience humaine, influenza, etc.) ;</w:t>
      </w:r>
    </w:p>
    <w:p w:rsidR="001215ED" w:rsidRDefault="001215ED" w:rsidP="001808CF">
      <w:pPr>
        <w:pStyle w:val="Paragraphedeliste"/>
        <w:numPr>
          <w:ilvl w:val="0"/>
          <w:numId w:val="17"/>
        </w:numPr>
        <w:spacing w:line="312" w:lineRule="auto"/>
        <w:jc w:val="both"/>
        <w:rPr>
          <w:rFonts w:ascii="Tahoma" w:hAnsi="Tahoma" w:cs="Tahoma"/>
          <w:lang w:val="fr-CA"/>
        </w:rPr>
      </w:pPr>
      <w:r>
        <w:rPr>
          <w:rFonts w:ascii="Tahoma" w:hAnsi="Tahoma" w:cs="Tahoma"/>
          <w:lang w:val="fr-CA"/>
        </w:rPr>
        <w:t>Les hépatites auto-immunes ;</w:t>
      </w:r>
    </w:p>
    <w:p w:rsidR="001215ED" w:rsidRDefault="001215ED" w:rsidP="001808CF">
      <w:pPr>
        <w:pStyle w:val="Paragraphedeliste"/>
        <w:numPr>
          <w:ilvl w:val="0"/>
          <w:numId w:val="17"/>
        </w:numPr>
        <w:spacing w:line="312" w:lineRule="auto"/>
        <w:jc w:val="both"/>
        <w:rPr>
          <w:rFonts w:ascii="Tahoma" w:hAnsi="Tahoma" w:cs="Tahoma"/>
          <w:lang w:val="fr-CA"/>
        </w:rPr>
      </w:pPr>
      <w:r>
        <w:rPr>
          <w:rFonts w:ascii="Tahoma" w:hAnsi="Tahoma" w:cs="Tahoma"/>
          <w:lang w:val="fr-CA"/>
        </w:rPr>
        <w:t>Les hépatites métaboliques ;</w:t>
      </w:r>
    </w:p>
    <w:p w:rsidR="001215ED" w:rsidRDefault="001215ED" w:rsidP="001808CF">
      <w:pPr>
        <w:pStyle w:val="Paragraphedeliste"/>
        <w:numPr>
          <w:ilvl w:val="0"/>
          <w:numId w:val="17"/>
        </w:numPr>
        <w:spacing w:line="312" w:lineRule="auto"/>
        <w:jc w:val="both"/>
        <w:rPr>
          <w:rFonts w:ascii="Tahoma" w:hAnsi="Tahoma" w:cs="Tahoma"/>
          <w:lang w:val="fr-CA"/>
        </w:rPr>
      </w:pPr>
      <w:r>
        <w:rPr>
          <w:rFonts w:ascii="Tahoma" w:hAnsi="Tahoma" w:cs="Tahoma"/>
          <w:lang w:val="fr-CA"/>
        </w:rPr>
        <w:t>Les hépatites vasculaires ;</w:t>
      </w:r>
    </w:p>
    <w:p w:rsidR="001215ED" w:rsidRDefault="001215ED" w:rsidP="001808CF">
      <w:pPr>
        <w:pStyle w:val="Paragraphedeliste"/>
        <w:numPr>
          <w:ilvl w:val="0"/>
          <w:numId w:val="17"/>
        </w:numPr>
        <w:spacing w:line="312" w:lineRule="auto"/>
        <w:jc w:val="both"/>
        <w:rPr>
          <w:rFonts w:ascii="Tahoma" w:hAnsi="Tahoma" w:cs="Tahoma"/>
          <w:lang w:val="fr-CA"/>
        </w:rPr>
      </w:pPr>
      <w:r>
        <w:rPr>
          <w:rFonts w:ascii="Tahoma" w:hAnsi="Tahoma" w:cs="Tahoma"/>
          <w:lang w:val="fr-CA"/>
        </w:rPr>
        <w:t>Les hépatites associées à la grossesse.</w:t>
      </w:r>
    </w:p>
    <w:p w:rsidR="00FD2B1B" w:rsidRDefault="00FD2B1B" w:rsidP="001215ED">
      <w:pPr>
        <w:spacing w:line="312" w:lineRule="auto"/>
        <w:jc w:val="both"/>
        <w:rPr>
          <w:rFonts w:ascii="Tahoma" w:hAnsi="Tahoma" w:cs="Tahoma"/>
          <w:lang w:val="fr-CA"/>
        </w:rPr>
      </w:pPr>
      <w:r>
        <w:rPr>
          <w:rFonts w:ascii="Tahoma" w:hAnsi="Tahoma" w:cs="Tahoma"/>
          <w:lang w:val="fr-CA"/>
        </w:rPr>
        <w:t>Le bilan de l’hépatite aiguë inclut :</w:t>
      </w:r>
    </w:p>
    <w:p w:rsidR="00FD2B1B" w:rsidRDefault="00FD2B1B" w:rsidP="00FD2B1B">
      <w:pPr>
        <w:pStyle w:val="Paragraphedeliste"/>
        <w:numPr>
          <w:ilvl w:val="0"/>
          <w:numId w:val="25"/>
        </w:numPr>
        <w:spacing w:line="312" w:lineRule="auto"/>
        <w:jc w:val="both"/>
        <w:rPr>
          <w:rFonts w:ascii="Tahoma" w:hAnsi="Tahoma" w:cs="Tahoma"/>
          <w:lang w:val="fr-CA"/>
        </w:rPr>
      </w:pPr>
      <w:r>
        <w:rPr>
          <w:rFonts w:ascii="Tahoma" w:hAnsi="Tahoma" w:cs="Tahoma"/>
          <w:lang w:val="fr-CA"/>
        </w:rPr>
        <w:t>Les IgM anti-HAV, les AgHBs, les IgM anti-HBc, les IgM anti-HCV, les IgG anti-HCV et l’ARN du virus de l’hépatite C ;</w:t>
      </w:r>
    </w:p>
    <w:p w:rsidR="00FD2B1B" w:rsidRDefault="00FD2B1B" w:rsidP="00FD2B1B">
      <w:pPr>
        <w:pStyle w:val="Paragraphedeliste"/>
        <w:numPr>
          <w:ilvl w:val="0"/>
          <w:numId w:val="25"/>
        </w:numPr>
        <w:spacing w:line="312" w:lineRule="auto"/>
        <w:jc w:val="both"/>
        <w:rPr>
          <w:rFonts w:ascii="Tahoma" w:hAnsi="Tahoma" w:cs="Tahoma"/>
          <w:lang w:val="fr-CA"/>
        </w:rPr>
      </w:pPr>
      <w:r>
        <w:rPr>
          <w:rFonts w:ascii="Tahoma" w:hAnsi="Tahoma" w:cs="Tahoma"/>
          <w:lang w:val="fr-CA"/>
        </w:rPr>
        <w:t>Le monotest et la sérologie du virus Epstein-Barr ;</w:t>
      </w:r>
    </w:p>
    <w:p w:rsidR="00FD2B1B" w:rsidRDefault="00FD2B1B" w:rsidP="00FD2B1B">
      <w:pPr>
        <w:pStyle w:val="Paragraphedeliste"/>
        <w:numPr>
          <w:ilvl w:val="0"/>
          <w:numId w:val="25"/>
        </w:numPr>
        <w:spacing w:line="312" w:lineRule="auto"/>
        <w:jc w:val="both"/>
        <w:rPr>
          <w:rFonts w:ascii="Tahoma" w:hAnsi="Tahoma" w:cs="Tahoma"/>
          <w:lang w:val="fr-CA"/>
        </w:rPr>
      </w:pPr>
      <w:r>
        <w:rPr>
          <w:rFonts w:ascii="Tahoma" w:hAnsi="Tahoma" w:cs="Tahoma"/>
          <w:lang w:val="fr-CA"/>
        </w:rPr>
        <w:t>Le dosage de l’acétaminophène ;</w:t>
      </w:r>
    </w:p>
    <w:p w:rsidR="00FD2B1B" w:rsidRDefault="00FD2B1B" w:rsidP="00FD2B1B">
      <w:pPr>
        <w:pStyle w:val="Paragraphedeliste"/>
        <w:numPr>
          <w:ilvl w:val="0"/>
          <w:numId w:val="25"/>
        </w:numPr>
        <w:spacing w:line="312" w:lineRule="auto"/>
        <w:jc w:val="both"/>
        <w:rPr>
          <w:rFonts w:ascii="Tahoma" w:hAnsi="Tahoma" w:cs="Tahoma"/>
          <w:lang w:val="fr-CA"/>
        </w:rPr>
      </w:pPr>
      <w:r>
        <w:rPr>
          <w:rFonts w:ascii="Tahoma" w:hAnsi="Tahoma" w:cs="Tahoma"/>
          <w:lang w:val="fr-CA"/>
        </w:rPr>
        <w:t>Les ANA, les anti-LKM, les anticorps anti-muscles lisses et l’électrophorèse des protéines sériques (immunoglobulines G, A et M) ;</w:t>
      </w:r>
    </w:p>
    <w:p w:rsidR="00FD2B1B" w:rsidRDefault="00FD2B1B" w:rsidP="00FD2B1B">
      <w:pPr>
        <w:pStyle w:val="Paragraphedeliste"/>
        <w:numPr>
          <w:ilvl w:val="0"/>
          <w:numId w:val="25"/>
        </w:numPr>
        <w:spacing w:line="312" w:lineRule="auto"/>
        <w:jc w:val="both"/>
        <w:rPr>
          <w:rFonts w:ascii="Tahoma" w:hAnsi="Tahoma" w:cs="Tahoma"/>
          <w:lang w:val="fr-CA"/>
        </w:rPr>
      </w:pPr>
      <w:r>
        <w:rPr>
          <w:rFonts w:ascii="Tahoma" w:hAnsi="Tahoma" w:cs="Tahoma"/>
          <w:lang w:val="fr-CA"/>
        </w:rPr>
        <w:t>Le dosage de la céruloplasmine, qui transporte le cuivre dans le foie ;</w:t>
      </w:r>
    </w:p>
    <w:p w:rsidR="00FD2B1B" w:rsidRDefault="00FD2B1B" w:rsidP="00FD2B1B">
      <w:pPr>
        <w:pStyle w:val="Paragraphedeliste"/>
        <w:numPr>
          <w:ilvl w:val="0"/>
          <w:numId w:val="25"/>
        </w:numPr>
        <w:spacing w:line="312" w:lineRule="auto"/>
        <w:jc w:val="both"/>
        <w:rPr>
          <w:rFonts w:ascii="Tahoma" w:hAnsi="Tahoma" w:cs="Tahoma"/>
          <w:lang w:val="fr-CA"/>
        </w:rPr>
      </w:pPr>
      <w:r>
        <w:rPr>
          <w:rFonts w:ascii="Tahoma" w:hAnsi="Tahoma" w:cs="Tahoma"/>
          <w:lang w:val="fr-CA"/>
        </w:rPr>
        <w:t>L’imagerie hépatique (angio-TDM, angio-IRM et éc</w:t>
      </w:r>
      <w:r w:rsidR="00DF7F28">
        <w:rPr>
          <w:rFonts w:ascii="Tahoma" w:hAnsi="Tahoma" w:cs="Tahoma"/>
          <w:lang w:val="fr-CA"/>
        </w:rPr>
        <w:t>h</w:t>
      </w:r>
      <w:r>
        <w:rPr>
          <w:rFonts w:ascii="Tahoma" w:hAnsi="Tahoma" w:cs="Tahoma"/>
          <w:lang w:val="fr-CA"/>
        </w:rPr>
        <w:t>ographie Doppler</w:t>
      </w:r>
      <w:r w:rsidR="00DF7F28">
        <w:rPr>
          <w:rFonts w:ascii="Tahoma" w:hAnsi="Tahoma" w:cs="Tahoma"/>
          <w:lang w:val="fr-CA"/>
        </w:rPr>
        <w:t>)</w:t>
      </w:r>
      <w:r>
        <w:rPr>
          <w:rFonts w:ascii="Tahoma" w:hAnsi="Tahoma" w:cs="Tahoma"/>
          <w:lang w:val="fr-CA"/>
        </w:rPr>
        <w:t xml:space="preserve"> ;</w:t>
      </w:r>
    </w:p>
    <w:p w:rsidR="00FD2B1B" w:rsidRPr="00FD2B1B" w:rsidRDefault="00FD2B1B" w:rsidP="00FD2B1B">
      <w:pPr>
        <w:pStyle w:val="Paragraphedeliste"/>
        <w:numPr>
          <w:ilvl w:val="0"/>
          <w:numId w:val="25"/>
        </w:numPr>
        <w:spacing w:line="312" w:lineRule="auto"/>
        <w:jc w:val="both"/>
        <w:rPr>
          <w:rFonts w:ascii="Tahoma" w:hAnsi="Tahoma" w:cs="Tahoma"/>
          <w:lang w:val="fr-CA"/>
        </w:rPr>
      </w:pPr>
      <w:r>
        <w:rPr>
          <w:rFonts w:ascii="Tahoma" w:hAnsi="Tahoma" w:cs="Tahoma"/>
          <w:lang w:val="fr-CA"/>
        </w:rPr>
        <w:t>Le dosage de l’hormone β-hCG, qui sera positif chez une femme enceinte.</w:t>
      </w:r>
    </w:p>
    <w:p w:rsidR="001215ED" w:rsidRPr="00D90353" w:rsidRDefault="001215ED" w:rsidP="00FD2B1B">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2. LES HÉPATITES VIRALES</w:t>
      </w:r>
    </w:p>
    <w:p w:rsidR="001215ED" w:rsidRDefault="001215ED" w:rsidP="001215ED">
      <w:pPr>
        <w:spacing w:line="312" w:lineRule="auto"/>
        <w:jc w:val="both"/>
        <w:rPr>
          <w:rFonts w:ascii="Tahoma" w:hAnsi="Tahoma" w:cs="Tahoma"/>
          <w:lang w:val="fr-CA"/>
        </w:rPr>
      </w:pPr>
      <w:r>
        <w:rPr>
          <w:rFonts w:ascii="Tahoma" w:hAnsi="Tahoma" w:cs="Tahoma"/>
          <w:lang w:val="fr-CA"/>
        </w:rPr>
        <w:t xml:space="preserve">Le virus de l’hépatite A, qui donne exclusivement des hépatites </w:t>
      </w:r>
      <w:r w:rsidRPr="001215ED">
        <w:rPr>
          <w:rFonts w:ascii="Tahoma" w:hAnsi="Tahoma" w:cs="Tahoma"/>
          <w:color w:val="0070C0"/>
          <w:lang w:val="fr-CA"/>
        </w:rPr>
        <w:t>aiguës</w:t>
      </w:r>
      <w:r>
        <w:rPr>
          <w:rFonts w:ascii="Tahoma" w:hAnsi="Tahoma" w:cs="Tahoma"/>
          <w:lang w:val="fr-CA"/>
        </w:rPr>
        <w:t xml:space="preserve">, est un virus à ARN qui se réplique dans le foie et qui est excrété dans la bile (donc dans les selles). On le retrouve typiquement dans des zones </w:t>
      </w:r>
      <w:r w:rsidRPr="001215ED">
        <w:rPr>
          <w:rFonts w:ascii="Tahoma" w:hAnsi="Tahoma" w:cs="Tahoma"/>
          <w:color w:val="0070C0"/>
          <w:lang w:val="fr-CA"/>
        </w:rPr>
        <w:t>endémiques</w:t>
      </w:r>
      <w:r>
        <w:rPr>
          <w:rFonts w:ascii="Tahoma" w:hAnsi="Tahoma" w:cs="Tahoma"/>
          <w:lang w:val="fr-CA"/>
        </w:rPr>
        <w:t xml:space="preserve">. Sa transmission est </w:t>
      </w:r>
      <w:r w:rsidRPr="001215ED">
        <w:rPr>
          <w:rFonts w:ascii="Tahoma" w:hAnsi="Tahoma" w:cs="Tahoma"/>
          <w:color w:val="0070C0"/>
          <w:lang w:val="fr-CA"/>
        </w:rPr>
        <w:t xml:space="preserve">fécale-orale </w:t>
      </w:r>
      <w:r>
        <w:rPr>
          <w:rFonts w:ascii="Tahoma" w:hAnsi="Tahoma" w:cs="Tahoma"/>
          <w:lang w:val="fr-CA"/>
        </w:rPr>
        <w:t xml:space="preserve">et sa période d’incubation, d’environ quatre semaines. </w:t>
      </w:r>
      <w:r w:rsidR="00401125">
        <w:rPr>
          <w:rFonts w:ascii="Tahoma" w:hAnsi="Tahoma" w:cs="Tahoma"/>
          <w:lang w:val="fr-CA"/>
        </w:rPr>
        <w:t>L’hépatite A est souvent accompagnée d’un syndrome viral et sa sévérité augmente avec l’</w:t>
      </w:r>
      <w:r w:rsidR="00EC44E9">
        <w:rPr>
          <w:rFonts w:ascii="Tahoma" w:hAnsi="Tahoma" w:cs="Tahoma"/>
          <w:lang w:val="fr-CA"/>
        </w:rPr>
        <w:t>âge : en effet, chez les enfants, il y a rarement des symptômes (il peut y avoir un simple syndrome s’apparentant à la grippe). Un individu qui fait l’hépatite A peut développe</w:t>
      </w:r>
      <w:r w:rsidR="00DF7F28">
        <w:rPr>
          <w:rFonts w:ascii="Tahoma" w:hAnsi="Tahoma" w:cs="Tahoma"/>
          <w:lang w:val="fr-CA"/>
        </w:rPr>
        <w:t>r des anticorps et se bâtir</w:t>
      </w:r>
      <w:r w:rsidR="00EC44E9">
        <w:rPr>
          <w:rFonts w:ascii="Tahoma" w:hAnsi="Tahoma" w:cs="Tahoma"/>
          <w:lang w:val="fr-CA"/>
        </w:rPr>
        <w:t xml:space="preserve"> une immunité à long terme. Dans les cas d’hépatites A, l’hépatite fulminante est rare, mais on va tout de même vacciner les patients cirrhotiques s’ils n’ont pas les anticorps.</w:t>
      </w:r>
    </w:p>
    <w:p w:rsidR="00EC44E9" w:rsidRDefault="00EC44E9" w:rsidP="001215ED">
      <w:pPr>
        <w:spacing w:line="312" w:lineRule="auto"/>
        <w:jc w:val="both"/>
        <w:rPr>
          <w:rFonts w:ascii="Tahoma" w:hAnsi="Tahoma" w:cs="Tahoma"/>
          <w:lang w:val="fr-CA"/>
        </w:rPr>
      </w:pPr>
      <w:r>
        <w:rPr>
          <w:rFonts w:ascii="Tahoma" w:hAnsi="Tahoma" w:cs="Tahoma"/>
          <w:lang w:val="fr-CA"/>
        </w:rPr>
        <w:t xml:space="preserve">Le diagnostic de l’hépatite A se fait au moyen du dosage des </w:t>
      </w:r>
      <w:r w:rsidRPr="00EC44E9">
        <w:rPr>
          <w:rFonts w:ascii="Tahoma" w:hAnsi="Tahoma" w:cs="Tahoma"/>
          <w:color w:val="0070C0"/>
          <w:lang w:val="fr-CA"/>
        </w:rPr>
        <w:t>IgM anti-HAV</w:t>
      </w:r>
      <w:r w:rsidR="005937D1" w:rsidRPr="005937D1">
        <w:rPr>
          <w:rFonts w:ascii="Tahoma" w:hAnsi="Tahoma" w:cs="Tahoma"/>
          <w:lang w:val="fr-CA"/>
        </w:rPr>
        <w:t>, qui se dév</w:t>
      </w:r>
      <w:r w:rsidR="005937D1">
        <w:rPr>
          <w:rFonts w:ascii="Tahoma" w:hAnsi="Tahoma" w:cs="Tahoma"/>
          <w:lang w:val="fr-CA"/>
        </w:rPr>
        <w:t>e</w:t>
      </w:r>
      <w:r w:rsidR="005937D1" w:rsidRPr="005937D1">
        <w:rPr>
          <w:rFonts w:ascii="Tahoma" w:hAnsi="Tahoma" w:cs="Tahoma"/>
          <w:lang w:val="fr-CA"/>
        </w:rPr>
        <w:t>loppent rapidement à la suite de l’attaque initiale (à plus long terme, ce sont les IgG anti-HAV qui se développeront et assureront l’immunité acquise)</w:t>
      </w:r>
      <w:r w:rsidRPr="005937D1">
        <w:rPr>
          <w:rFonts w:ascii="Tahoma" w:hAnsi="Tahoma" w:cs="Tahoma"/>
          <w:lang w:val="fr-CA"/>
        </w:rPr>
        <w:t xml:space="preserve">. </w:t>
      </w:r>
      <w:r>
        <w:rPr>
          <w:rFonts w:ascii="Tahoma" w:hAnsi="Tahoma" w:cs="Tahoma"/>
          <w:lang w:val="fr-CA"/>
        </w:rPr>
        <w:t>Le traitement est un traitement de support. Souvent, on va vacciner les proches de la personne atteinte.</w:t>
      </w:r>
    </w:p>
    <w:p w:rsidR="00EC44E9" w:rsidRDefault="00EC44E9" w:rsidP="001215ED">
      <w:pPr>
        <w:spacing w:line="312" w:lineRule="auto"/>
        <w:jc w:val="both"/>
        <w:rPr>
          <w:rFonts w:ascii="Tahoma" w:hAnsi="Tahoma" w:cs="Tahoma"/>
          <w:lang w:val="fr-CA"/>
        </w:rPr>
      </w:pPr>
      <w:r>
        <w:rPr>
          <w:rFonts w:ascii="Tahoma" w:hAnsi="Tahoma" w:cs="Tahoma"/>
          <w:lang w:val="fr-CA"/>
        </w:rPr>
        <w:t>L’hépatite B peut être aiguë ou chronique. C’est un virus à ADN qui s’intègre au génome de l’hépatocyte. La période d’incubation de l’</w:t>
      </w:r>
      <w:r w:rsidR="00F817B7">
        <w:rPr>
          <w:rFonts w:ascii="Tahoma" w:hAnsi="Tahoma" w:cs="Tahoma"/>
          <w:lang w:val="fr-CA"/>
        </w:rPr>
        <w:t xml:space="preserve">hépatite B est de </w:t>
      </w:r>
      <w:r w:rsidR="00F817B7" w:rsidRPr="005937D1">
        <w:rPr>
          <w:rFonts w:ascii="Tahoma" w:hAnsi="Tahoma" w:cs="Tahoma"/>
          <w:color w:val="0070C0"/>
          <w:lang w:val="fr-CA"/>
        </w:rPr>
        <w:t xml:space="preserve">deux </w:t>
      </w:r>
      <w:r w:rsidRPr="005937D1">
        <w:rPr>
          <w:rFonts w:ascii="Tahoma" w:hAnsi="Tahoma" w:cs="Tahoma"/>
          <w:color w:val="0070C0"/>
          <w:lang w:val="fr-CA"/>
        </w:rPr>
        <w:t>mois</w:t>
      </w:r>
      <w:r>
        <w:rPr>
          <w:rFonts w:ascii="Tahoma" w:hAnsi="Tahoma" w:cs="Tahoma"/>
          <w:lang w:val="fr-CA"/>
        </w:rPr>
        <w:t xml:space="preserve">. </w:t>
      </w:r>
      <w:r w:rsidR="00F817B7">
        <w:rPr>
          <w:rFonts w:ascii="Tahoma" w:hAnsi="Tahoma" w:cs="Tahoma"/>
          <w:lang w:val="fr-CA"/>
        </w:rPr>
        <w:t xml:space="preserve">S’il y a </w:t>
      </w:r>
      <w:r>
        <w:rPr>
          <w:rFonts w:ascii="Tahoma" w:hAnsi="Tahoma" w:cs="Tahoma"/>
          <w:lang w:val="fr-CA"/>
        </w:rPr>
        <w:t xml:space="preserve">transmission verticale de la mère à l’enfant, </w:t>
      </w:r>
      <w:r w:rsidR="00F817B7">
        <w:rPr>
          <w:rFonts w:ascii="Tahoma" w:hAnsi="Tahoma" w:cs="Tahoma"/>
          <w:lang w:val="fr-CA"/>
        </w:rPr>
        <w:t>il y a 90 % de chances que le virus devienne chronique. S’il y a transmission sexuelle ou parentérale, il n’y a que 5 % de chances que le virus s’installe de façon chronique.</w:t>
      </w:r>
    </w:p>
    <w:p w:rsidR="00F817B7" w:rsidRDefault="00A614AE" w:rsidP="001215ED">
      <w:pPr>
        <w:spacing w:line="312" w:lineRule="auto"/>
        <w:jc w:val="both"/>
        <w:rPr>
          <w:rFonts w:ascii="Tahoma" w:hAnsi="Tahoma" w:cs="Tahoma"/>
          <w:lang w:val="fr-CA"/>
        </w:rPr>
      </w:pPr>
      <w:r>
        <w:rPr>
          <w:rFonts w:ascii="Tahoma" w:hAnsi="Tahoma" w:cs="Tahoma"/>
          <w:lang w:val="fr-CA"/>
        </w:rPr>
        <w:t xml:space="preserve">On divise habituellement la progression des virus de l’hépatite en trois phases : la période d’incubation, la maladie aiguë et la convalescence (ou récupération). </w:t>
      </w:r>
      <w:r w:rsidR="006F18B4">
        <w:rPr>
          <w:rFonts w:ascii="Tahoma" w:hAnsi="Tahoma" w:cs="Tahoma"/>
          <w:lang w:val="fr-CA"/>
        </w:rPr>
        <w:t xml:space="preserve">Dans le cas de l’hépatite B, l’élévation des transaminases sériques survient de façon concommitante à l’élévation des </w:t>
      </w:r>
      <w:r w:rsidR="006F18B4" w:rsidRPr="0026352D">
        <w:rPr>
          <w:rFonts w:ascii="Tahoma" w:hAnsi="Tahoma" w:cs="Tahoma"/>
          <w:color w:val="0070C0"/>
          <w:lang w:val="fr-CA"/>
        </w:rPr>
        <w:t xml:space="preserve">marqueurs sériques </w:t>
      </w:r>
      <w:r w:rsidR="006F18B4">
        <w:rPr>
          <w:rFonts w:ascii="Tahoma" w:hAnsi="Tahoma" w:cs="Tahoma"/>
          <w:lang w:val="fr-CA"/>
        </w:rPr>
        <w:t>suivants :</w:t>
      </w:r>
    </w:p>
    <w:p w:rsidR="006F18B4" w:rsidRDefault="006F18B4" w:rsidP="006F18B4">
      <w:pPr>
        <w:pStyle w:val="Paragraphedeliste"/>
        <w:numPr>
          <w:ilvl w:val="0"/>
          <w:numId w:val="18"/>
        </w:numPr>
        <w:spacing w:line="312" w:lineRule="auto"/>
        <w:jc w:val="both"/>
        <w:rPr>
          <w:rFonts w:ascii="Tahoma" w:hAnsi="Tahoma" w:cs="Tahoma"/>
          <w:lang w:val="fr-CA"/>
        </w:rPr>
      </w:pPr>
      <w:r>
        <w:rPr>
          <w:rFonts w:ascii="Tahoma" w:hAnsi="Tahoma" w:cs="Tahoma"/>
          <w:lang w:val="fr-CA"/>
        </w:rPr>
        <w:t>Le marqueur de réplication active AgHBe ;</w:t>
      </w:r>
    </w:p>
    <w:p w:rsidR="006F18B4" w:rsidRDefault="006F18B4" w:rsidP="006F18B4">
      <w:pPr>
        <w:pStyle w:val="Paragraphedeliste"/>
        <w:numPr>
          <w:ilvl w:val="0"/>
          <w:numId w:val="18"/>
        </w:numPr>
        <w:spacing w:line="312" w:lineRule="auto"/>
        <w:jc w:val="both"/>
        <w:rPr>
          <w:rFonts w:ascii="Tahoma" w:hAnsi="Tahoma" w:cs="Tahoma"/>
          <w:lang w:val="fr-CA"/>
        </w:rPr>
      </w:pPr>
      <w:r>
        <w:rPr>
          <w:rFonts w:ascii="Tahoma" w:hAnsi="Tahoma" w:cs="Tahoma"/>
          <w:lang w:val="fr-CA"/>
        </w:rPr>
        <w:t>L’ADN du virus de l’hépatite B, qui permet de quantifier la réplication virale ;</w:t>
      </w:r>
    </w:p>
    <w:p w:rsidR="006F18B4" w:rsidRDefault="006F18B4" w:rsidP="006F18B4">
      <w:pPr>
        <w:pStyle w:val="Paragraphedeliste"/>
        <w:numPr>
          <w:ilvl w:val="0"/>
          <w:numId w:val="18"/>
        </w:numPr>
        <w:spacing w:line="312" w:lineRule="auto"/>
        <w:jc w:val="both"/>
        <w:rPr>
          <w:rFonts w:ascii="Tahoma" w:hAnsi="Tahoma" w:cs="Tahoma"/>
          <w:lang w:val="fr-CA"/>
        </w:rPr>
      </w:pPr>
      <w:r>
        <w:rPr>
          <w:rFonts w:ascii="Tahoma" w:hAnsi="Tahoma" w:cs="Tahoma"/>
          <w:lang w:val="fr-CA"/>
        </w:rPr>
        <w:t>Les antigènes AgHBs, qui signent la présence du virus dans l’organisme.</w:t>
      </w:r>
    </w:p>
    <w:p w:rsidR="006F18B4" w:rsidRPr="006F18B4" w:rsidRDefault="006F18B4" w:rsidP="006F18B4">
      <w:pPr>
        <w:spacing w:line="312" w:lineRule="auto"/>
        <w:jc w:val="both"/>
        <w:rPr>
          <w:rFonts w:ascii="Tahoma" w:hAnsi="Tahoma" w:cs="Tahoma"/>
          <w:lang w:val="fr-CA"/>
        </w:rPr>
      </w:pPr>
      <w:r>
        <w:rPr>
          <w:rFonts w:ascii="Tahoma" w:hAnsi="Tahoma" w:cs="Tahoma"/>
          <w:lang w:val="fr-CA"/>
        </w:rPr>
        <w:t xml:space="preserve">En réaction, les </w:t>
      </w:r>
      <w:proofErr w:type="spellStart"/>
      <w:r>
        <w:rPr>
          <w:rFonts w:ascii="Tahoma" w:hAnsi="Tahoma" w:cs="Tahoma"/>
          <w:lang w:val="fr-CA"/>
        </w:rPr>
        <w:t>IgM</w:t>
      </w:r>
      <w:proofErr w:type="spellEnd"/>
      <w:r>
        <w:rPr>
          <w:rFonts w:ascii="Tahoma" w:hAnsi="Tahoma" w:cs="Tahoma"/>
          <w:lang w:val="fr-CA"/>
        </w:rPr>
        <w:t xml:space="preserve"> anti-</w:t>
      </w:r>
      <w:proofErr w:type="spellStart"/>
      <w:r>
        <w:rPr>
          <w:rFonts w:ascii="Tahoma" w:hAnsi="Tahoma" w:cs="Tahoma"/>
          <w:lang w:val="fr-CA"/>
        </w:rPr>
        <w:t>HBc</w:t>
      </w:r>
      <w:proofErr w:type="spellEnd"/>
      <w:r>
        <w:rPr>
          <w:rFonts w:ascii="Tahoma" w:hAnsi="Tahoma" w:cs="Tahoma"/>
          <w:lang w:val="fr-CA"/>
        </w:rPr>
        <w:t xml:space="preserve"> et les</w:t>
      </w:r>
      <w:r w:rsidR="00DF7F28">
        <w:rPr>
          <w:rFonts w:ascii="Tahoma" w:hAnsi="Tahoma" w:cs="Tahoma"/>
          <w:lang w:val="fr-CA"/>
        </w:rPr>
        <w:t xml:space="preserve"> anticorps</w:t>
      </w:r>
      <w:r>
        <w:rPr>
          <w:rFonts w:ascii="Tahoma" w:hAnsi="Tahoma" w:cs="Tahoma"/>
          <w:lang w:val="fr-CA"/>
        </w:rPr>
        <w:t xml:space="preserve"> anti-</w:t>
      </w:r>
      <w:proofErr w:type="spellStart"/>
      <w:r>
        <w:rPr>
          <w:rFonts w:ascii="Tahoma" w:hAnsi="Tahoma" w:cs="Tahoma"/>
          <w:lang w:val="fr-CA"/>
        </w:rPr>
        <w:t>HBe</w:t>
      </w:r>
      <w:proofErr w:type="spellEnd"/>
      <w:r>
        <w:rPr>
          <w:rFonts w:ascii="Tahoma" w:hAnsi="Tahoma" w:cs="Tahoma"/>
          <w:lang w:val="fr-CA"/>
        </w:rPr>
        <w:t xml:space="preserve"> vont s’élever. Lorsque l’infection sera contrôlée, leurs taux sériques vont diminuer. C’est alors que se formeront les IgG anti-HBc et les IgG anti-HBs, responsables de l’immunité à plus long terme.</w:t>
      </w:r>
    </w:p>
    <w:p w:rsidR="005937D1" w:rsidRDefault="005937D1" w:rsidP="001215ED">
      <w:pPr>
        <w:spacing w:line="312" w:lineRule="auto"/>
        <w:jc w:val="both"/>
        <w:rPr>
          <w:rFonts w:ascii="Tahoma" w:hAnsi="Tahoma" w:cs="Tahoma"/>
          <w:lang w:val="fr-CA"/>
        </w:rPr>
      </w:pPr>
      <w:r>
        <w:rPr>
          <w:rFonts w:ascii="Tahoma" w:hAnsi="Tahoma" w:cs="Tahoma"/>
          <w:lang w:val="fr-CA"/>
        </w:rPr>
        <w:t xml:space="preserve">Les dommages de l’hépatite B aiguë résultent de la réaction immunitaire de l’hôte. Le tableau clinique varie entre l’absence de symptômes et l’insuffisance hépatique aiguë, tel que mentionné précédemment. </w:t>
      </w:r>
      <w:r w:rsidR="00AC1501">
        <w:rPr>
          <w:rFonts w:ascii="Tahoma" w:hAnsi="Tahoma" w:cs="Tahoma"/>
          <w:lang w:val="fr-CA"/>
        </w:rPr>
        <w:t>Il y a très peu de chances de faire une hépatite fulminante dans le cas de l’hépatite B. Cette pathologie</w:t>
      </w:r>
      <w:r>
        <w:rPr>
          <w:rFonts w:ascii="Tahoma" w:hAnsi="Tahoma" w:cs="Tahoma"/>
          <w:lang w:val="fr-CA"/>
        </w:rPr>
        <w:t xml:space="preserve"> peut aussi être de type chronique, cas dans lequel elle est associée à des risques de cirrhose et</w:t>
      </w:r>
      <w:r w:rsidR="00AC1501">
        <w:rPr>
          <w:rFonts w:ascii="Tahoma" w:hAnsi="Tahoma" w:cs="Tahoma"/>
          <w:lang w:val="fr-CA"/>
        </w:rPr>
        <w:t xml:space="preserve"> de carcinome hépatocellulaire.</w:t>
      </w:r>
    </w:p>
    <w:p w:rsidR="00AC1501" w:rsidRDefault="00AC1501" w:rsidP="001215ED">
      <w:pPr>
        <w:spacing w:line="312" w:lineRule="auto"/>
        <w:jc w:val="both"/>
        <w:rPr>
          <w:rFonts w:ascii="Tahoma" w:hAnsi="Tahoma" w:cs="Tahoma"/>
          <w:lang w:val="fr-CA"/>
        </w:rPr>
      </w:pPr>
      <w:r>
        <w:rPr>
          <w:rFonts w:ascii="Tahoma" w:hAnsi="Tahoma" w:cs="Tahoma"/>
          <w:lang w:val="fr-CA"/>
        </w:rPr>
        <w:lastRenderedPageBreak/>
        <w:t xml:space="preserve">Le diagnostic de l’hépatite B se fait au moyen des </w:t>
      </w:r>
      <w:r w:rsidRPr="00AC1501">
        <w:rPr>
          <w:rFonts w:ascii="Tahoma" w:hAnsi="Tahoma" w:cs="Tahoma"/>
          <w:color w:val="0070C0"/>
          <w:lang w:val="fr-CA"/>
        </w:rPr>
        <w:t xml:space="preserve">IgM anti-HBc </w:t>
      </w:r>
      <w:r>
        <w:rPr>
          <w:rFonts w:ascii="Tahoma" w:hAnsi="Tahoma" w:cs="Tahoma"/>
          <w:lang w:val="fr-CA"/>
        </w:rPr>
        <w:t xml:space="preserve">et des </w:t>
      </w:r>
      <w:r w:rsidRPr="00AC1501">
        <w:rPr>
          <w:rFonts w:ascii="Tahoma" w:hAnsi="Tahoma" w:cs="Tahoma"/>
          <w:color w:val="0070C0"/>
          <w:lang w:val="fr-CA"/>
        </w:rPr>
        <w:t>AgHBs</w:t>
      </w:r>
      <w:r>
        <w:rPr>
          <w:rFonts w:ascii="Tahoma" w:hAnsi="Tahoma" w:cs="Tahoma"/>
          <w:lang w:val="fr-CA"/>
        </w:rPr>
        <w:t>. Si la détection des IgM anti-HBc est positive, il s’agit d’une hépatite aiguë. Le traitement inclut le support en situation aiguë et la prise d’</w:t>
      </w:r>
      <w:r w:rsidRPr="00AC1501">
        <w:rPr>
          <w:rFonts w:ascii="Tahoma" w:hAnsi="Tahoma" w:cs="Tahoma"/>
          <w:color w:val="0070C0"/>
          <w:lang w:val="fr-CA"/>
        </w:rPr>
        <w:t>antiviraux</w:t>
      </w:r>
      <w:r>
        <w:rPr>
          <w:rFonts w:ascii="Tahoma" w:hAnsi="Tahoma" w:cs="Tahoma"/>
          <w:lang w:val="fr-CA"/>
        </w:rPr>
        <w:t xml:space="preserve"> en situation chronique. Il faut noter que des critères de traitement bien précis s’appliquent, ce qui signifie qu’</w:t>
      </w:r>
      <w:r w:rsidR="006F18B4">
        <w:rPr>
          <w:rFonts w:ascii="Tahoma" w:hAnsi="Tahoma" w:cs="Tahoma"/>
          <w:lang w:val="fr-CA"/>
        </w:rPr>
        <w:t>il ne faut jamais prescrire d’antiviraux</w:t>
      </w:r>
      <w:r>
        <w:rPr>
          <w:rFonts w:ascii="Tahoma" w:hAnsi="Tahoma" w:cs="Tahoma"/>
          <w:lang w:val="fr-CA"/>
        </w:rPr>
        <w:t xml:space="preserve"> sauf si l’on est très à l’aise avec la prise en charge des hépatites virales. Si un contact avec une personne </w:t>
      </w:r>
      <w:r w:rsidR="006F18B4">
        <w:rPr>
          <w:rFonts w:ascii="Tahoma" w:hAnsi="Tahoma" w:cs="Tahoma"/>
          <w:lang w:val="fr-CA"/>
        </w:rPr>
        <w:t xml:space="preserve">à risque est reporté par le patient, on peut procéder à la vaccination et/ou à l’administration d’immunoglobulines contre l’hépatite B </w:t>
      </w:r>
      <w:r w:rsidR="00D35F10">
        <w:rPr>
          <w:rFonts w:ascii="Tahoma" w:hAnsi="Tahoma" w:cs="Tahoma"/>
          <w:lang w:val="fr-CA"/>
        </w:rPr>
        <w:t xml:space="preserve">(HBIG) </w:t>
      </w:r>
      <w:r w:rsidR="006F18B4">
        <w:rPr>
          <w:rFonts w:ascii="Tahoma" w:hAnsi="Tahoma" w:cs="Tahoma"/>
          <w:lang w:val="fr-CA"/>
        </w:rPr>
        <w:t>par voie intramusculaire ou intraveineuse. L’hépatite B est une maladie à déclaration obligatoire.</w:t>
      </w:r>
    </w:p>
    <w:p w:rsidR="0004352B" w:rsidRDefault="006F18B4" w:rsidP="001215ED">
      <w:pPr>
        <w:spacing w:line="312" w:lineRule="auto"/>
        <w:jc w:val="both"/>
        <w:rPr>
          <w:rFonts w:ascii="Tahoma" w:hAnsi="Tahoma" w:cs="Tahoma"/>
          <w:lang w:val="fr-CA"/>
        </w:rPr>
      </w:pPr>
      <w:r>
        <w:rPr>
          <w:rFonts w:ascii="Tahoma" w:hAnsi="Tahoma" w:cs="Tahoma"/>
          <w:lang w:val="fr-CA"/>
        </w:rPr>
        <w:t xml:space="preserve">L’hépatite D (δ) est causée par un virus à ARN qui a absolument besoin de la présence des antigènes AgHBs (hépatite B). </w:t>
      </w:r>
      <w:r w:rsidR="0004352B">
        <w:rPr>
          <w:rFonts w:ascii="Tahoma" w:hAnsi="Tahoma" w:cs="Tahoma"/>
          <w:lang w:val="fr-CA"/>
        </w:rPr>
        <w:t>En effet, l’ARN et l’antigène de surface du virus responsable de l’hépatite D doivent être recouverts d’AgHBs ; de cette façon, il peut y avoir multiplication grâce à l’appareil réplicatif du virus de l’hépatite B. Ainsi, l’hépatite D est souven</w:t>
      </w:r>
      <w:r w:rsidR="00390B2A">
        <w:rPr>
          <w:rFonts w:ascii="Tahoma" w:hAnsi="Tahoma" w:cs="Tahoma"/>
          <w:lang w:val="fr-CA"/>
        </w:rPr>
        <w:t>t une co</w:t>
      </w:r>
      <w:r w:rsidR="00390B2A">
        <w:rPr>
          <w:rFonts w:ascii="Tahoma" w:hAnsi="Tahoma" w:cs="Tahoma"/>
          <w:lang w:val="fr-CA"/>
        </w:rPr>
        <w:noBreakHyphen/>
        <w:t>infection ou une sur</w:t>
      </w:r>
      <w:r w:rsidR="0004352B">
        <w:rPr>
          <w:rFonts w:ascii="Tahoma" w:hAnsi="Tahoma" w:cs="Tahoma"/>
          <w:lang w:val="fr-CA"/>
        </w:rPr>
        <w:t xml:space="preserve">infection de l’hépatite B ; elle est donc souvent associée aux </w:t>
      </w:r>
      <w:r w:rsidR="0004352B" w:rsidRPr="0004352B">
        <w:rPr>
          <w:rFonts w:ascii="Tahoma" w:hAnsi="Tahoma" w:cs="Tahoma"/>
          <w:color w:val="0070C0"/>
          <w:lang w:val="fr-CA"/>
        </w:rPr>
        <w:t>hépatites fulminantes</w:t>
      </w:r>
      <w:r w:rsidR="0004352B">
        <w:rPr>
          <w:rFonts w:ascii="Tahoma" w:hAnsi="Tahoma" w:cs="Tahoma"/>
          <w:lang w:val="fr-CA"/>
        </w:rPr>
        <w:t xml:space="preserve">. Son diagnostic se fait au moyen du dosage des </w:t>
      </w:r>
      <w:r w:rsidR="0004352B" w:rsidRPr="0004352B">
        <w:rPr>
          <w:rFonts w:ascii="Tahoma" w:hAnsi="Tahoma" w:cs="Tahoma"/>
          <w:color w:val="0070C0"/>
          <w:lang w:val="fr-CA"/>
        </w:rPr>
        <w:t xml:space="preserve">IgM anti-HDV </w:t>
      </w:r>
      <w:r w:rsidR="0004352B">
        <w:rPr>
          <w:rFonts w:ascii="Tahoma" w:hAnsi="Tahoma" w:cs="Tahoma"/>
          <w:lang w:val="fr-CA"/>
        </w:rPr>
        <w:t>et de l’ARN du virus de l’hépatite D.</w:t>
      </w:r>
    </w:p>
    <w:p w:rsidR="0004352B" w:rsidRDefault="0004352B" w:rsidP="001215ED">
      <w:pPr>
        <w:spacing w:line="312" w:lineRule="auto"/>
        <w:jc w:val="both"/>
        <w:rPr>
          <w:rFonts w:ascii="Tahoma" w:hAnsi="Tahoma" w:cs="Tahoma"/>
          <w:lang w:val="fr-CA"/>
        </w:rPr>
      </w:pPr>
      <w:r>
        <w:rPr>
          <w:rFonts w:ascii="Tahoma" w:hAnsi="Tahoma" w:cs="Tahoma"/>
          <w:lang w:val="fr-CA"/>
        </w:rPr>
        <w:t xml:space="preserve">L’hépatite C est surtout chronique (dans 75 % des cas). Il s’agit d’un virus à ARN qui est surtout transmis par </w:t>
      </w:r>
      <w:r w:rsidRPr="0026352D">
        <w:rPr>
          <w:rFonts w:ascii="Tahoma" w:hAnsi="Tahoma" w:cs="Tahoma"/>
          <w:color w:val="0070C0"/>
          <w:lang w:val="fr-CA"/>
        </w:rPr>
        <w:t>voie parentérale</w:t>
      </w:r>
      <w:r>
        <w:rPr>
          <w:rFonts w:ascii="Tahoma" w:hAnsi="Tahoma" w:cs="Tahoma"/>
          <w:lang w:val="fr-CA"/>
        </w:rPr>
        <w:t>, c’est-à-dire par une injection. La transmission sexuell</w:t>
      </w:r>
      <w:r w:rsidR="00DF7F28">
        <w:rPr>
          <w:rFonts w:ascii="Tahoma" w:hAnsi="Tahoma" w:cs="Tahoma"/>
          <w:lang w:val="fr-CA"/>
        </w:rPr>
        <w:t>e est possible, mais rare. On</w:t>
      </w:r>
      <w:r>
        <w:rPr>
          <w:rFonts w:ascii="Tahoma" w:hAnsi="Tahoma" w:cs="Tahoma"/>
          <w:lang w:val="fr-CA"/>
        </w:rPr>
        <w:t xml:space="preserve"> voit souvent </w:t>
      </w:r>
      <w:r w:rsidR="00DF7F28">
        <w:rPr>
          <w:rFonts w:ascii="Tahoma" w:hAnsi="Tahoma" w:cs="Tahoma"/>
          <w:lang w:val="fr-CA"/>
        </w:rPr>
        <w:t xml:space="preserve">l’hépatite C </w:t>
      </w:r>
      <w:r>
        <w:rPr>
          <w:rFonts w:ascii="Tahoma" w:hAnsi="Tahoma" w:cs="Tahoma"/>
          <w:lang w:val="fr-CA"/>
        </w:rPr>
        <w:t xml:space="preserve">chez les utilisateurs de drogues intraveineuses. Avant 1982, il était aussi possible de l’obtenir par une transfusion sanguine. Le virus est directement cytopathique, c’est-à-dire que les </w:t>
      </w:r>
      <w:r w:rsidRPr="0004352B">
        <w:rPr>
          <w:rFonts w:ascii="Tahoma" w:hAnsi="Tahoma" w:cs="Tahoma"/>
          <w:lang w:val="fr-CA"/>
        </w:rPr>
        <w:t>altérations métaboliques, biochi</w:t>
      </w:r>
      <w:r>
        <w:rPr>
          <w:rFonts w:ascii="Tahoma" w:hAnsi="Tahoma" w:cs="Tahoma"/>
          <w:lang w:val="fr-CA"/>
        </w:rPr>
        <w:t>miques et morphologiques de la c</w:t>
      </w:r>
      <w:r w:rsidRPr="0004352B">
        <w:rPr>
          <w:rFonts w:ascii="Tahoma" w:hAnsi="Tahoma" w:cs="Tahoma"/>
          <w:lang w:val="fr-CA"/>
        </w:rPr>
        <w:t>ellule hôte infectée</w:t>
      </w:r>
      <w:r w:rsidR="0026352D">
        <w:rPr>
          <w:rFonts w:ascii="Tahoma" w:hAnsi="Tahoma" w:cs="Tahoma"/>
          <w:lang w:val="fr-CA"/>
        </w:rPr>
        <w:t xml:space="preserve"> ne nécessitent pas d’intermédiaire. Les infections aiguës sont le plus souvent asymptomatiques ; s’il y a de l’ictère, c’est toutefois bon signe, puisque cela témoigne d’une réaction immunitaire plus manifeste qui suggère de plus grandes chances d’éradiquer le virus.</w:t>
      </w:r>
    </w:p>
    <w:p w:rsidR="0026352D" w:rsidRDefault="0026352D" w:rsidP="001215ED">
      <w:pPr>
        <w:spacing w:line="312" w:lineRule="auto"/>
        <w:jc w:val="both"/>
        <w:rPr>
          <w:rFonts w:ascii="Tahoma" w:hAnsi="Tahoma" w:cs="Tahoma"/>
          <w:lang w:val="fr-CA"/>
        </w:rPr>
      </w:pPr>
      <w:r>
        <w:rPr>
          <w:rFonts w:ascii="Tahoma" w:hAnsi="Tahoma" w:cs="Tahoma"/>
          <w:lang w:val="fr-CA"/>
        </w:rPr>
        <w:t xml:space="preserve">Le diagnostic d’hépatite C s’effectue au moyen de la détection de l’ARN du virus dans le sang et des </w:t>
      </w:r>
      <w:r w:rsidR="00DF7F28">
        <w:rPr>
          <w:rFonts w:ascii="Tahoma" w:hAnsi="Tahoma" w:cs="Tahoma"/>
          <w:lang w:val="fr-CA"/>
        </w:rPr>
        <w:t xml:space="preserve">anticorps </w:t>
      </w:r>
      <w:r>
        <w:rPr>
          <w:rFonts w:ascii="Tahoma" w:hAnsi="Tahoma" w:cs="Tahoma"/>
          <w:lang w:val="fr-CA"/>
        </w:rPr>
        <w:t>a</w:t>
      </w:r>
      <w:r w:rsidR="00DF7F28">
        <w:rPr>
          <w:rFonts w:ascii="Tahoma" w:hAnsi="Tahoma" w:cs="Tahoma"/>
          <w:lang w:val="fr-CA"/>
        </w:rPr>
        <w:t>nti-HCV, qui apparaissent</w:t>
      </w:r>
      <w:r>
        <w:rPr>
          <w:rFonts w:ascii="Tahoma" w:hAnsi="Tahoma" w:cs="Tahoma"/>
          <w:lang w:val="fr-CA"/>
        </w:rPr>
        <w:t xml:space="preserve"> plus tardivement. Notons par ailleurs que le développement d’une cirrhose post-hépatite C se fait à long terme (20 à 30 ans).</w:t>
      </w:r>
    </w:p>
    <w:p w:rsidR="0026352D" w:rsidRDefault="0026352D" w:rsidP="001215ED">
      <w:pPr>
        <w:spacing w:line="312" w:lineRule="auto"/>
        <w:jc w:val="both"/>
        <w:rPr>
          <w:rFonts w:ascii="Tahoma" w:hAnsi="Tahoma" w:cs="Tahoma"/>
          <w:lang w:val="fr-CA"/>
        </w:rPr>
      </w:pPr>
      <w:r>
        <w:rPr>
          <w:rFonts w:ascii="Tahoma" w:hAnsi="Tahoma" w:cs="Tahoma"/>
          <w:lang w:val="fr-CA"/>
        </w:rPr>
        <w:t xml:space="preserve">L’hépatite E, généralement aiguë, est causée par un virus à ARN et est retrouvée surtout chez les </w:t>
      </w:r>
      <w:r w:rsidRPr="0026352D">
        <w:rPr>
          <w:rFonts w:ascii="Tahoma" w:hAnsi="Tahoma" w:cs="Tahoma"/>
          <w:color w:val="0070C0"/>
          <w:lang w:val="fr-CA"/>
        </w:rPr>
        <w:t>patients immunosupprimés</w:t>
      </w:r>
      <w:r>
        <w:rPr>
          <w:rFonts w:ascii="Tahoma" w:hAnsi="Tahoma" w:cs="Tahoma"/>
          <w:lang w:val="fr-CA"/>
        </w:rPr>
        <w:t>. On la retrouve dans des zones endémiques :</w:t>
      </w:r>
    </w:p>
    <w:p w:rsidR="0026352D" w:rsidRDefault="0026352D" w:rsidP="0026352D">
      <w:pPr>
        <w:pStyle w:val="Paragraphedeliste"/>
        <w:numPr>
          <w:ilvl w:val="0"/>
          <w:numId w:val="19"/>
        </w:numPr>
        <w:spacing w:line="312" w:lineRule="auto"/>
        <w:jc w:val="both"/>
        <w:rPr>
          <w:rFonts w:ascii="Tahoma" w:hAnsi="Tahoma" w:cs="Tahoma"/>
          <w:lang w:val="fr-CA"/>
        </w:rPr>
        <w:sectPr w:rsidR="0026352D" w:rsidSect="00730C93">
          <w:type w:val="continuous"/>
          <w:pgSz w:w="12240" w:h="15840"/>
          <w:pgMar w:top="1418" w:right="1701" w:bottom="1418" w:left="1701" w:header="709" w:footer="709" w:gutter="0"/>
          <w:pgNumType w:fmt="upperRoman" w:start="1"/>
          <w:cols w:space="708"/>
          <w:docGrid w:linePitch="360"/>
        </w:sectPr>
      </w:pPr>
    </w:p>
    <w:p w:rsidR="0026352D" w:rsidRDefault="0026352D" w:rsidP="0026352D">
      <w:pPr>
        <w:pStyle w:val="Paragraphedeliste"/>
        <w:numPr>
          <w:ilvl w:val="0"/>
          <w:numId w:val="19"/>
        </w:numPr>
        <w:spacing w:line="312" w:lineRule="auto"/>
        <w:jc w:val="both"/>
        <w:rPr>
          <w:rFonts w:ascii="Tahoma" w:hAnsi="Tahoma" w:cs="Tahoma"/>
          <w:lang w:val="fr-CA"/>
        </w:rPr>
      </w:pPr>
      <w:r>
        <w:rPr>
          <w:rFonts w:ascii="Tahoma" w:hAnsi="Tahoma" w:cs="Tahoma"/>
          <w:lang w:val="fr-CA"/>
        </w:rPr>
        <w:t>Mexique ;</w:t>
      </w:r>
    </w:p>
    <w:p w:rsidR="0026352D" w:rsidRDefault="0026352D" w:rsidP="0026352D">
      <w:pPr>
        <w:pStyle w:val="Paragraphedeliste"/>
        <w:numPr>
          <w:ilvl w:val="0"/>
          <w:numId w:val="19"/>
        </w:numPr>
        <w:spacing w:line="312" w:lineRule="auto"/>
        <w:jc w:val="both"/>
        <w:rPr>
          <w:rFonts w:ascii="Tahoma" w:hAnsi="Tahoma" w:cs="Tahoma"/>
          <w:lang w:val="fr-CA"/>
        </w:rPr>
      </w:pPr>
      <w:r>
        <w:rPr>
          <w:rFonts w:ascii="Tahoma" w:hAnsi="Tahoma" w:cs="Tahoma"/>
          <w:lang w:val="fr-CA"/>
        </w:rPr>
        <w:t>Asie du Sud-Est ;</w:t>
      </w:r>
    </w:p>
    <w:p w:rsidR="0026352D" w:rsidRDefault="0026352D" w:rsidP="0026352D">
      <w:pPr>
        <w:pStyle w:val="Paragraphedeliste"/>
        <w:numPr>
          <w:ilvl w:val="0"/>
          <w:numId w:val="19"/>
        </w:numPr>
        <w:spacing w:line="312" w:lineRule="auto"/>
        <w:jc w:val="both"/>
        <w:rPr>
          <w:rFonts w:ascii="Tahoma" w:hAnsi="Tahoma" w:cs="Tahoma"/>
          <w:lang w:val="fr-CA"/>
        </w:rPr>
      </w:pPr>
      <w:r>
        <w:rPr>
          <w:rFonts w:ascii="Tahoma" w:hAnsi="Tahoma" w:cs="Tahoma"/>
          <w:lang w:val="fr-CA"/>
        </w:rPr>
        <w:t>Moyen-Orient ;</w:t>
      </w:r>
    </w:p>
    <w:p w:rsidR="0026352D" w:rsidRDefault="0026352D" w:rsidP="0026352D">
      <w:pPr>
        <w:pStyle w:val="Paragraphedeliste"/>
        <w:numPr>
          <w:ilvl w:val="0"/>
          <w:numId w:val="19"/>
        </w:numPr>
        <w:spacing w:line="312" w:lineRule="auto"/>
        <w:jc w:val="both"/>
        <w:rPr>
          <w:rFonts w:ascii="Tahoma" w:hAnsi="Tahoma" w:cs="Tahoma"/>
          <w:lang w:val="fr-CA"/>
        </w:rPr>
      </w:pPr>
      <w:r>
        <w:rPr>
          <w:rFonts w:ascii="Tahoma" w:hAnsi="Tahoma" w:cs="Tahoma"/>
          <w:lang w:val="fr-CA"/>
        </w:rPr>
        <w:t>Inde ;</w:t>
      </w:r>
    </w:p>
    <w:p w:rsidR="0026352D" w:rsidRDefault="0026352D" w:rsidP="0026352D">
      <w:pPr>
        <w:pStyle w:val="Paragraphedeliste"/>
        <w:numPr>
          <w:ilvl w:val="0"/>
          <w:numId w:val="19"/>
        </w:numPr>
        <w:spacing w:line="312" w:lineRule="auto"/>
        <w:jc w:val="both"/>
        <w:rPr>
          <w:rFonts w:ascii="Tahoma" w:hAnsi="Tahoma" w:cs="Tahoma"/>
          <w:lang w:val="fr-CA"/>
        </w:rPr>
      </w:pPr>
      <w:r>
        <w:rPr>
          <w:rFonts w:ascii="Tahoma" w:hAnsi="Tahoma" w:cs="Tahoma"/>
          <w:lang w:val="fr-CA"/>
        </w:rPr>
        <w:t>Pakistan ;</w:t>
      </w:r>
    </w:p>
    <w:p w:rsidR="0026352D" w:rsidRDefault="0026352D" w:rsidP="0026352D">
      <w:pPr>
        <w:pStyle w:val="Paragraphedeliste"/>
        <w:numPr>
          <w:ilvl w:val="0"/>
          <w:numId w:val="19"/>
        </w:numPr>
        <w:spacing w:line="312" w:lineRule="auto"/>
        <w:jc w:val="both"/>
        <w:rPr>
          <w:rFonts w:ascii="Tahoma" w:hAnsi="Tahoma" w:cs="Tahoma"/>
          <w:lang w:val="fr-CA"/>
        </w:rPr>
      </w:pPr>
      <w:r>
        <w:rPr>
          <w:rFonts w:ascii="Tahoma" w:hAnsi="Tahoma" w:cs="Tahoma"/>
          <w:lang w:val="fr-CA"/>
        </w:rPr>
        <w:t>Région toulousaine.</w:t>
      </w:r>
    </w:p>
    <w:p w:rsidR="0026352D" w:rsidRDefault="0026352D" w:rsidP="0026352D">
      <w:pPr>
        <w:spacing w:line="312" w:lineRule="auto"/>
        <w:jc w:val="both"/>
        <w:rPr>
          <w:rFonts w:ascii="Tahoma" w:hAnsi="Tahoma" w:cs="Tahoma"/>
          <w:lang w:val="fr-CA"/>
        </w:rPr>
        <w:sectPr w:rsidR="0026352D" w:rsidSect="0026352D">
          <w:type w:val="continuous"/>
          <w:pgSz w:w="12240" w:h="15840"/>
          <w:pgMar w:top="1418" w:right="1701" w:bottom="1418" w:left="1701" w:header="709" w:footer="709" w:gutter="0"/>
          <w:pgNumType w:fmt="upperRoman" w:start="1"/>
          <w:cols w:num="2" w:space="708"/>
          <w:docGrid w:linePitch="360"/>
        </w:sectPr>
      </w:pPr>
    </w:p>
    <w:p w:rsidR="0026352D" w:rsidRDefault="0026352D" w:rsidP="0026352D">
      <w:pPr>
        <w:spacing w:line="312" w:lineRule="auto"/>
        <w:jc w:val="both"/>
        <w:rPr>
          <w:rFonts w:ascii="Tahoma" w:hAnsi="Tahoma" w:cs="Tahoma"/>
          <w:lang w:val="fr-CA"/>
        </w:rPr>
      </w:pPr>
      <w:r>
        <w:rPr>
          <w:rFonts w:ascii="Tahoma" w:hAnsi="Tahoma" w:cs="Tahoma"/>
          <w:lang w:val="fr-CA"/>
        </w:rPr>
        <w:t xml:space="preserve">La contamination de l’hépatite E se fait par voie fécale-orale. On retrouve le virus dans l’eau contaminée ou dans certains réservoirs animaux, notamment le porc, le sanglier et le chevreuil. L’hépatite E est rarement chronique ; s’il elle l’est, ce sera toujours chez un sujet </w:t>
      </w:r>
      <w:r>
        <w:rPr>
          <w:rFonts w:ascii="Tahoma" w:hAnsi="Tahoma" w:cs="Tahoma"/>
          <w:lang w:val="fr-CA"/>
        </w:rPr>
        <w:lastRenderedPageBreak/>
        <w:t>immunosupprimé. Chez la femme enceinte comme chez les immunosupprimés, les risques d’hépatite fulminante associée sont de 25 %. Le diagnostic de l’hépatite E se fait au moyen du dosage des IgM anti-HEV et de l’ARN sérique du virus.</w:t>
      </w:r>
    </w:p>
    <w:p w:rsidR="0026352D" w:rsidRDefault="00685157" w:rsidP="0026352D">
      <w:pPr>
        <w:spacing w:line="312" w:lineRule="auto"/>
        <w:jc w:val="both"/>
        <w:rPr>
          <w:rFonts w:ascii="Tahoma" w:hAnsi="Tahoma" w:cs="Tahoma"/>
          <w:lang w:val="fr-CA"/>
        </w:rPr>
      </w:pPr>
      <w:r>
        <w:rPr>
          <w:rFonts w:ascii="Tahoma" w:hAnsi="Tahoma" w:cs="Tahoma"/>
          <w:lang w:val="fr-CA"/>
        </w:rPr>
        <w:t xml:space="preserve">Le </w:t>
      </w:r>
      <w:r w:rsidRPr="00685157">
        <w:rPr>
          <w:rFonts w:ascii="Tahoma" w:hAnsi="Tahoma" w:cs="Tahoma"/>
          <w:color w:val="0070C0"/>
          <w:lang w:val="fr-CA"/>
        </w:rPr>
        <w:t xml:space="preserve">virus Epstein-Barr </w:t>
      </w:r>
      <w:r>
        <w:rPr>
          <w:rFonts w:ascii="Tahoma" w:hAnsi="Tahoma" w:cs="Tahoma"/>
          <w:lang w:val="fr-CA"/>
        </w:rPr>
        <w:t>cause de la cytolyse hépatique dans 90 % des cas. En outre, chez 7 % des patients, on observera de l’ictère cholestatique (obstructif). À la formule sanguine complète, il faut rechercher des lymphocytes atypiques et des symptômes associés à la mononucléose.</w:t>
      </w:r>
    </w:p>
    <w:p w:rsidR="00685157" w:rsidRDefault="00685157" w:rsidP="0026352D">
      <w:pPr>
        <w:spacing w:line="312" w:lineRule="auto"/>
        <w:jc w:val="both"/>
        <w:rPr>
          <w:rFonts w:ascii="Tahoma" w:hAnsi="Tahoma" w:cs="Tahoma"/>
          <w:lang w:val="fr-CA"/>
        </w:rPr>
      </w:pPr>
      <w:r>
        <w:rPr>
          <w:rFonts w:ascii="Tahoma" w:hAnsi="Tahoma" w:cs="Tahoma"/>
          <w:lang w:val="fr-CA"/>
        </w:rPr>
        <w:t>L’hépatite due au cytomégalovirus est surtout retrouvée chez les patients immunodéprimés. Son diagnostic se fait au moyen de l’ADN du virus et des IgM anti-CMV.</w:t>
      </w:r>
    </w:p>
    <w:p w:rsidR="00685157" w:rsidRDefault="00685157" w:rsidP="0026352D">
      <w:pPr>
        <w:spacing w:line="312" w:lineRule="auto"/>
        <w:jc w:val="both"/>
        <w:rPr>
          <w:rFonts w:ascii="Tahoma" w:hAnsi="Tahoma" w:cs="Tahoma"/>
          <w:lang w:val="fr-CA"/>
        </w:rPr>
      </w:pPr>
      <w:r>
        <w:rPr>
          <w:rFonts w:ascii="Tahoma" w:hAnsi="Tahoma" w:cs="Tahoma"/>
          <w:lang w:val="fr-CA"/>
        </w:rPr>
        <w:t xml:space="preserve">L’hépatite due au virus de l’herpès (HSV) est surtout retrouvée chez les personnes âgées, chez les femmes enceintes et chez les patients immunosupprimés. Cette hépatite est associée à un risque assez élevé d’hépatite fulminante et à une </w:t>
      </w:r>
      <w:r w:rsidRPr="00685157">
        <w:rPr>
          <w:rFonts w:ascii="Tahoma" w:hAnsi="Tahoma" w:cs="Tahoma"/>
          <w:color w:val="0070C0"/>
          <w:lang w:val="fr-CA"/>
        </w:rPr>
        <w:t>cytolyse</w:t>
      </w:r>
      <w:r>
        <w:rPr>
          <w:rFonts w:ascii="Tahoma" w:hAnsi="Tahoma" w:cs="Tahoma"/>
          <w:lang w:val="fr-CA"/>
        </w:rPr>
        <w:t xml:space="preserve"> majeure. Son diagnostic se fait au moyen des IgM anti-HSV et/ou d’une biopsie hépatique. Finalement, le traitement se fait à l’aide d’antiviraux.</w:t>
      </w:r>
      <w:r>
        <w:rPr>
          <w:rFonts w:ascii="Tahoma" w:hAnsi="Tahoma" w:cs="Tahoma"/>
          <w:lang w:val="fr-CA"/>
        </w:rPr>
        <w:br w:type="page"/>
      </w:r>
    </w:p>
    <w:p w:rsidR="00685157" w:rsidRPr="00D90353" w:rsidRDefault="00685157" w:rsidP="00685157">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3. LES HÉPATITES TOXIQUES</w:t>
      </w:r>
    </w:p>
    <w:p w:rsidR="00685157" w:rsidRDefault="00DF7F28" w:rsidP="00685157">
      <w:pPr>
        <w:spacing w:line="312" w:lineRule="auto"/>
        <w:jc w:val="both"/>
        <w:rPr>
          <w:rFonts w:ascii="Tahoma" w:hAnsi="Tahoma" w:cs="Tahoma"/>
          <w:lang w:val="fr-CA"/>
        </w:rPr>
      </w:pPr>
      <w:r>
        <w:rPr>
          <w:rFonts w:ascii="Tahoma" w:hAnsi="Tahoma" w:cs="Tahoma"/>
          <w:lang w:val="fr-CA"/>
        </w:rPr>
        <w:t xml:space="preserve">Les hépatites toxiques sont </w:t>
      </w:r>
      <w:r w:rsidR="00685157">
        <w:rPr>
          <w:rFonts w:ascii="Tahoma" w:hAnsi="Tahoma" w:cs="Tahoma"/>
          <w:lang w:val="fr-CA"/>
        </w:rPr>
        <w:t xml:space="preserve">dues à des produits naturels, des champignons, des drogues récréatives ou des médicaments : tous les </w:t>
      </w:r>
      <w:r w:rsidR="00685157" w:rsidRPr="00BD552D">
        <w:rPr>
          <w:rFonts w:ascii="Tahoma" w:hAnsi="Tahoma" w:cs="Tahoma"/>
          <w:color w:val="0070C0"/>
          <w:lang w:val="fr-CA"/>
        </w:rPr>
        <w:t>médicaments</w:t>
      </w:r>
      <w:r w:rsidR="00685157">
        <w:rPr>
          <w:rFonts w:ascii="Tahoma" w:hAnsi="Tahoma" w:cs="Tahoma"/>
          <w:lang w:val="fr-CA"/>
        </w:rPr>
        <w:t xml:space="preserve"> peuvent entraîner une hépatite toxique, mais certains sont plus propices que d’autres. Il existe 2 types d’hépatotoxicité :</w:t>
      </w:r>
    </w:p>
    <w:p w:rsidR="00685157" w:rsidRDefault="00685157" w:rsidP="00685157">
      <w:pPr>
        <w:pStyle w:val="Paragraphedeliste"/>
        <w:numPr>
          <w:ilvl w:val="0"/>
          <w:numId w:val="20"/>
        </w:numPr>
        <w:spacing w:line="312" w:lineRule="auto"/>
        <w:jc w:val="both"/>
        <w:rPr>
          <w:rFonts w:ascii="Tahoma" w:hAnsi="Tahoma" w:cs="Tahoma"/>
          <w:lang w:val="fr-CA"/>
        </w:rPr>
      </w:pPr>
      <w:r>
        <w:rPr>
          <w:rFonts w:ascii="Tahoma" w:hAnsi="Tahoma" w:cs="Tahoma"/>
          <w:lang w:val="fr-CA"/>
        </w:rPr>
        <w:t>Toxicité prévisible</w:t>
      </w:r>
      <w:r w:rsidR="00BD552D">
        <w:rPr>
          <w:rFonts w:ascii="Tahoma" w:hAnsi="Tahoma" w:cs="Tahoma"/>
          <w:lang w:val="fr-CA"/>
        </w:rPr>
        <w:t>, proportionnelle à la dose administrée (ex. : acétaminophène) ;</w:t>
      </w:r>
    </w:p>
    <w:p w:rsidR="00BD552D" w:rsidRDefault="00BD552D" w:rsidP="00685157">
      <w:pPr>
        <w:pStyle w:val="Paragraphedeliste"/>
        <w:numPr>
          <w:ilvl w:val="0"/>
          <w:numId w:val="20"/>
        </w:numPr>
        <w:spacing w:line="312" w:lineRule="auto"/>
        <w:jc w:val="both"/>
        <w:rPr>
          <w:rFonts w:ascii="Tahoma" w:hAnsi="Tahoma" w:cs="Tahoma"/>
          <w:lang w:val="fr-CA"/>
        </w:rPr>
      </w:pPr>
      <w:r>
        <w:rPr>
          <w:rFonts w:ascii="Tahoma" w:hAnsi="Tahoma" w:cs="Tahoma"/>
          <w:lang w:val="fr-CA"/>
        </w:rPr>
        <w:t>Réaction idiosyncrasique, imprévisible.</w:t>
      </w:r>
    </w:p>
    <w:p w:rsidR="00BD552D" w:rsidRDefault="00BD552D" w:rsidP="00BD552D">
      <w:pPr>
        <w:spacing w:line="312" w:lineRule="auto"/>
        <w:jc w:val="both"/>
        <w:rPr>
          <w:rFonts w:ascii="Tahoma" w:hAnsi="Tahoma" w:cs="Tahoma"/>
          <w:lang w:val="fr-CA"/>
        </w:rPr>
      </w:pPr>
      <w:r>
        <w:rPr>
          <w:rFonts w:ascii="Tahoma" w:hAnsi="Tahoma" w:cs="Tahoma"/>
          <w:lang w:val="fr-CA"/>
        </w:rPr>
        <w:t>Les manifestations cliniques et biochimiques des hépatites toxiques sont très variables. Une hépatite toxique peut être asymptomatique, ou elle peut se présenter comme :</w:t>
      </w:r>
    </w:p>
    <w:p w:rsidR="006865F1" w:rsidRDefault="006865F1" w:rsidP="00BD552D">
      <w:pPr>
        <w:pStyle w:val="Paragraphedeliste"/>
        <w:numPr>
          <w:ilvl w:val="0"/>
          <w:numId w:val="21"/>
        </w:numPr>
        <w:spacing w:line="312" w:lineRule="auto"/>
        <w:jc w:val="both"/>
        <w:rPr>
          <w:rFonts w:ascii="Tahoma" w:hAnsi="Tahoma" w:cs="Tahoma"/>
          <w:lang w:val="fr-CA"/>
        </w:rPr>
        <w:sectPr w:rsidR="006865F1" w:rsidSect="0026352D">
          <w:type w:val="continuous"/>
          <w:pgSz w:w="12240" w:h="15840"/>
          <w:pgMar w:top="1418" w:right="1701" w:bottom="1418" w:left="1701" w:header="709" w:footer="709" w:gutter="0"/>
          <w:pgNumType w:fmt="upperRoman" w:start="4"/>
          <w:cols w:space="708"/>
          <w:docGrid w:linePitch="360"/>
        </w:sectPr>
      </w:pPr>
    </w:p>
    <w:p w:rsidR="00BD552D" w:rsidRDefault="00BD552D" w:rsidP="00BD552D">
      <w:pPr>
        <w:pStyle w:val="Paragraphedeliste"/>
        <w:numPr>
          <w:ilvl w:val="0"/>
          <w:numId w:val="21"/>
        </w:numPr>
        <w:spacing w:line="312" w:lineRule="auto"/>
        <w:jc w:val="both"/>
        <w:rPr>
          <w:rFonts w:ascii="Tahoma" w:hAnsi="Tahoma" w:cs="Tahoma"/>
          <w:lang w:val="fr-CA"/>
        </w:rPr>
      </w:pPr>
      <w:r>
        <w:rPr>
          <w:rFonts w:ascii="Tahoma" w:hAnsi="Tahoma" w:cs="Tahoma"/>
          <w:lang w:val="fr-CA"/>
        </w:rPr>
        <w:t>De</w:t>
      </w:r>
      <w:r w:rsidR="006865F1">
        <w:rPr>
          <w:rFonts w:ascii="Tahoma" w:hAnsi="Tahoma" w:cs="Tahoma"/>
          <w:lang w:val="fr-CA"/>
        </w:rPr>
        <w:t>s anomalies aux tests du foie</w:t>
      </w:r>
      <w:r>
        <w:rPr>
          <w:rFonts w:ascii="Tahoma" w:hAnsi="Tahoma" w:cs="Tahoma"/>
          <w:lang w:val="fr-CA"/>
        </w:rPr>
        <w:t xml:space="preserve"> ;</w:t>
      </w:r>
    </w:p>
    <w:p w:rsidR="00BD552D" w:rsidRDefault="00BD552D" w:rsidP="00BD552D">
      <w:pPr>
        <w:pStyle w:val="Paragraphedeliste"/>
        <w:numPr>
          <w:ilvl w:val="0"/>
          <w:numId w:val="21"/>
        </w:numPr>
        <w:spacing w:line="312" w:lineRule="auto"/>
        <w:jc w:val="both"/>
        <w:rPr>
          <w:rFonts w:ascii="Tahoma" w:hAnsi="Tahoma" w:cs="Tahoma"/>
          <w:lang w:val="fr-CA"/>
        </w:rPr>
      </w:pPr>
      <w:r>
        <w:rPr>
          <w:rFonts w:ascii="Tahoma" w:hAnsi="Tahoma" w:cs="Tahoma"/>
          <w:lang w:val="fr-CA"/>
        </w:rPr>
        <w:t>Une hépatite anictérique ;</w:t>
      </w:r>
    </w:p>
    <w:p w:rsidR="00BD552D" w:rsidRDefault="00BD552D" w:rsidP="00BD552D">
      <w:pPr>
        <w:pStyle w:val="Paragraphedeliste"/>
        <w:numPr>
          <w:ilvl w:val="0"/>
          <w:numId w:val="21"/>
        </w:numPr>
        <w:spacing w:line="312" w:lineRule="auto"/>
        <w:jc w:val="both"/>
        <w:rPr>
          <w:rFonts w:ascii="Tahoma" w:hAnsi="Tahoma" w:cs="Tahoma"/>
          <w:lang w:val="fr-CA"/>
        </w:rPr>
      </w:pPr>
      <w:r>
        <w:rPr>
          <w:rFonts w:ascii="Tahoma" w:hAnsi="Tahoma" w:cs="Tahoma"/>
          <w:lang w:val="fr-CA"/>
        </w:rPr>
        <w:t>Une hépatite clinique ictérique ;</w:t>
      </w:r>
    </w:p>
    <w:p w:rsidR="00BD552D" w:rsidRDefault="00BD552D" w:rsidP="00BD552D">
      <w:pPr>
        <w:pStyle w:val="Paragraphedeliste"/>
        <w:numPr>
          <w:ilvl w:val="0"/>
          <w:numId w:val="21"/>
        </w:numPr>
        <w:spacing w:line="312" w:lineRule="auto"/>
        <w:jc w:val="both"/>
        <w:rPr>
          <w:rFonts w:ascii="Tahoma" w:hAnsi="Tahoma" w:cs="Tahoma"/>
          <w:lang w:val="fr-CA"/>
        </w:rPr>
      </w:pPr>
      <w:r>
        <w:rPr>
          <w:rFonts w:ascii="Tahoma" w:hAnsi="Tahoma" w:cs="Tahoma"/>
          <w:lang w:val="fr-CA"/>
        </w:rPr>
        <w:t>Une hépatite fulminante.</w:t>
      </w:r>
    </w:p>
    <w:p w:rsidR="006865F1" w:rsidRDefault="006865F1" w:rsidP="00BD552D">
      <w:pPr>
        <w:spacing w:line="312" w:lineRule="auto"/>
        <w:jc w:val="both"/>
        <w:rPr>
          <w:rFonts w:ascii="Tahoma" w:hAnsi="Tahoma" w:cs="Tahoma"/>
          <w:lang w:val="fr-CA"/>
        </w:rPr>
        <w:sectPr w:rsidR="006865F1" w:rsidSect="006865F1">
          <w:type w:val="continuous"/>
          <w:pgSz w:w="12240" w:h="15840"/>
          <w:pgMar w:top="1418" w:right="1701" w:bottom="1418" w:left="1701" w:header="709" w:footer="709" w:gutter="0"/>
          <w:pgNumType w:fmt="upperRoman" w:start="4"/>
          <w:cols w:num="2" w:space="708"/>
          <w:docGrid w:linePitch="360"/>
        </w:sectPr>
      </w:pPr>
    </w:p>
    <w:p w:rsidR="00BD552D" w:rsidRDefault="006865F1" w:rsidP="00BD552D">
      <w:pPr>
        <w:spacing w:line="312" w:lineRule="auto"/>
        <w:jc w:val="both"/>
        <w:rPr>
          <w:rFonts w:ascii="Tahoma" w:hAnsi="Tahoma" w:cs="Tahoma"/>
          <w:lang w:val="fr-CA"/>
        </w:rPr>
      </w:pPr>
      <w:r>
        <w:rPr>
          <w:rFonts w:ascii="Tahoma" w:hAnsi="Tahoma" w:cs="Tahoma"/>
          <w:lang w:val="fr-CA"/>
        </w:rPr>
        <w:t xml:space="preserve">De ce fait, les symptômes incluent </w:t>
      </w:r>
      <w:r w:rsidR="006F4AF8">
        <w:rPr>
          <w:rFonts w:ascii="Tahoma" w:hAnsi="Tahoma" w:cs="Tahoma"/>
          <w:lang w:val="fr-CA"/>
        </w:rPr>
        <w:t>l’ictère</w:t>
      </w:r>
      <w:r w:rsidR="0084338C">
        <w:rPr>
          <w:rFonts w:ascii="Tahoma" w:hAnsi="Tahoma" w:cs="Tahoma"/>
          <w:lang w:val="fr-CA"/>
        </w:rPr>
        <w:t>, les selles pâles, les urines foncées, le prurit, l’atteinte de l’état général, l’anorexie et les symptômes d’hypersensibilité (hyperéosinophilie, fièvre, éruptions cutanées). Il est à noter que la fièvre et les myalgies sont toutefois moins fréquentes.</w:t>
      </w:r>
    </w:p>
    <w:p w:rsidR="0084338C" w:rsidRDefault="0084338C" w:rsidP="00BD552D">
      <w:pPr>
        <w:spacing w:line="312" w:lineRule="auto"/>
        <w:jc w:val="both"/>
        <w:rPr>
          <w:rFonts w:ascii="Tahoma" w:hAnsi="Tahoma" w:cs="Tahoma"/>
          <w:lang w:val="fr-CA"/>
        </w:rPr>
      </w:pPr>
      <w:r>
        <w:rPr>
          <w:rFonts w:ascii="Tahoma" w:hAnsi="Tahoma" w:cs="Tahoma"/>
          <w:lang w:val="fr-CA"/>
        </w:rPr>
        <w:t xml:space="preserve">Le bilan hépatique peut être très variable. Selon le médicament, il peut témoigner d’une atteinte hépatocellulaire, cholestatique ou mixte. Les </w:t>
      </w:r>
      <w:r w:rsidRPr="0038356C">
        <w:rPr>
          <w:rFonts w:ascii="Tahoma" w:hAnsi="Tahoma" w:cs="Tahoma"/>
          <w:color w:val="0070C0"/>
          <w:lang w:val="fr-CA"/>
        </w:rPr>
        <w:t xml:space="preserve">anomalies histologiques </w:t>
      </w:r>
      <w:r>
        <w:rPr>
          <w:rFonts w:ascii="Tahoma" w:hAnsi="Tahoma" w:cs="Tahoma"/>
          <w:lang w:val="fr-CA"/>
        </w:rPr>
        <w:t xml:space="preserve">sont multiples. </w:t>
      </w:r>
      <w:r w:rsidR="0038356C">
        <w:rPr>
          <w:rFonts w:ascii="Tahoma" w:hAnsi="Tahoma" w:cs="Tahoma"/>
          <w:lang w:val="fr-CA"/>
        </w:rPr>
        <w:t>Les médicaments suivants sont à l’origine d’une atteinte hépatocellulaire :</w:t>
      </w:r>
    </w:p>
    <w:p w:rsidR="0038356C" w:rsidRDefault="0038356C" w:rsidP="0038356C">
      <w:pPr>
        <w:pStyle w:val="Paragraphedeliste"/>
        <w:numPr>
          <w:ilvl w:val="0"/>
          <w:numId w:val="22"/>
        </w:numPr>
        <w:spacing w:line="312" w:lineRule="auto"/>
        <w:jc w:val="both"/>
        <w:rPr>
          <w:rFonts w:ascii="Tahoma" w:hAnsi="Tahoma" w:cs="Tahoma"/>
          <w:lang w:val="fr-CA"/>
        </w:rPr>
      </w:pPr>
      <w:r>
        <w:rPr>
          <w:rFonts w:ascii="Tahoma" w:hAnsi="Tahoma" w:cs="Tahoma"/>
          <w:lang w:val="fr-CA"/>
        </w:rPr>
        <w:t>L’acétaminophène (Tylenol</w:t>
      </w:r>
      <w:r w:rsidRPr="0038356C">
        <w:rPr>
          <w:rFonts w:ascii="Tahoma" w:hAnsi="Tahoma" w:cs="Tahoma"/>
          <w:vertAlign w:val="superscript"/>
          <w:lang w:val="fr-CA"/>
        </w:rPr>
        <w:t>®</w:t>
      </w:r>
      <w:r>
        <w:rPr>
          <w:rFonts w:ascii="Tahoma" w:hAnsi="Tahoma" w:cs="Tahoma"/>
          <w:lang w:val="fr-CA"/>
        </w:rPr>
        <w:t>) ;</w:t>
      </w:r>
    </w:p>
    <w:p w:rsidR="0038356C" w:rsidRDefault="0038356C" w:rsidP="0038356C">
      <w:pPr>
        <w:pStyle w:val="Paragraphedeliste"/>
        <w:numPr>
          <w:ilvl w:val="0"/>
          <w:numId w:val="22"/>
        </w:numPr>
        <w:spacing w:line="312" w:lineRule="auto"/>
        <w:jc w:val="both"/>
        <w:rPr>
          <w:rFonts w:ascii="Tahoma" w:hAnsi="Tahoma" w:cs="Tahoma"/>
          <w:lang w:val="fr-CA"/>
        </w:rPr>
      </w:pPr>
      <w:r>
        <w:rPr>
          <w:rFonts w:ascii="Tahoma" w:hAnsi="Tahoma" w:cs="Tahoma"/>
          <w:lang w:val="fr-CA"/>
        </w:rPr>
        <w:t>L’amiodarone, un antiarythmique ;</w:t>
      </w:r>
    </w:p>
    <w:p w:rsidR="0038356C" w:rsidRDefault="0038356C" w:rsidP="0038356C">
      <w:pPr>
        <w:pStyle w:val="Paragraphedeliste"/>
        <w:numPr>
          <w:ilvl w:val="0"/>
          <w:numId w:val="22"/>
        </w:numPr>
        <w:spacing w:line="312" w:lineRule="auto"/>
        <w:jc w:val="both"/>
        <w:rPr>
          <w:rFonts w:ascii="Tahoma" w:hAnsi="Tahoma" w:cs="Tahoma"/>
          <w:lang w:val="fr-CA"/>
        </w:rPr>
      </w:pPr>
      <w:r>
        <w:rPr>
          <w:rFonts w:ascii="Tahoma" w:hAnsi="Tahoma" w:cs="Tahoma"/>
          <w:lang w:val="fr-CA"/>
        </w:rPr>
        <w:t>L’isoniazide, un antibiotique utilisé dans le traitement de la tuberculose ;</w:t>
      </w:r>
    </w:p>
    <w:p w:rsidR="0038356C" w:rsidRDefault="0038356C" w:rsidP="0038356C">
      <w:pPr>
        <w:pStyle w:val="Paragraphedeliste"/>
        <w:numPr>
          <w:ilvl w:val="0"/>
          <w:numId w:val="22"/>
        </w:numPr>
        <w:spacing w:line="312" w:lineRule="auto"/>
        <w:jc w:val="both"/>
        <w:rPr>
          <w:rFonts w:ascii="Tahoma" w:hAnsi="Tahoma" w:cs="Tahoma"/>
          <w:lang w:val="fr-CA"/>
        </w:rPr>
      </w:pPr>
      <w:r>
        <w:rPr>
          <w:rFonts w:ascii="Tahoma" w:hAnsi="Tahoma" w:cs="Tahoma"/>
          <w:lang w:val="fr-CA"/>
        </w:rPr>
        <w:t xml:space="preserve">Le méthotrexate, un </w:t>
      </w:r>
      <w:proofErr w:type="spellStart"/>
      <w:r>
        <w:rPr>
          <w:rFonts w:ascii="Tahoma" w:hAnsi="Tahoma" w:cs="Tahoma"/>
          <w:lang w:val="fr-CA"/>
        </w:rPr>
        <w:t>antimétabolite</w:t>
      </w:r>
      <w:proofErr w:type="spellEnd"/>
      <w:r>
        <w:rPr>
          <w:rFonts w:ascii="Tahoma" w:hAnsi="Tahoma" w:cs="Tahoma"/>
          <w:lang w:val="fr-CA"/>
        </w:rPr>
        <w:t xml:space="preserve"> utile dans le traitement de certains cancers ;</w:t>
      </w:r>
    </w:p>
    <w:p w:rsidR="0038356C" w:rsidRDefault="0038356C" w:rsidP="0038356C">
      <w:pPr>
        <w:pStyle w:val="Paragraphedeliste"/>
        <w:numPr>
          <w:ilvl w:val="0"/>
          <w:numId w:val="22"/>
        </w:numPr>
        <w:spacing w:line="312" w:lineRule="auto"/>
        <w:jc w:val="both"/>
        <w:rPr>
          <w:rFonts w:ascii="Tahoma" w:hAnsi="Tahoma" w:cs="Tahoma"/>
          <w:lang w:val="fr-CA"/>
        </w:rPr>
      </w:pPr>
      <w:r>
        <w:rPr>
          <w:rFonts w:ascii="Tahoma" w:hAnsi="Tahoma" w:cs="Tahoma"/>
          <w:lang w:val="fr-CA"/>
        </w:rPr>
        <w:t>La rifampicine, un antibiotique utilisé dans le traitement de la tuberculose.</w:t>
      </w:r>
    </w:p>
    <w:p w:rsidR="0038356C" w:rsidRDefault="0038356C" w:rsidP="0038356C">
      <w:pPr>
        <w:spacing w:line="312" w:lineRule="auto"/>
        <w:jc w:val="both"/>
        <w:rPr>
          <w:rFonts w:ascii="Tahoma" w:hAnsi="Tahoma" w:cs="Tahoma"/>
          <w:lang w:val="fr-CA"/>
        </w:rPr>
      </w:pPr>
      <w:r>
        <w:rPr>
          <w:rFonts w:ascii="Tahoma" w:hAnsi="Tahoma" w:cs="Tahoma"/>
          <w:lang w:val="fr-CA"/>
        </w:rPr>
        <w:t>L’acide amoxicilline-clavulanique (antibiotique) et la terbinafine (antifongique) causent des perturbations cholestatiques. Par ailleurs, l’azathiopine, utilisée dans le traitement des MII, la nitrofurantoïne, utilisée dans le traitement des infections urinaires, et le triméthoprim-sulfa-méthoxazole, un antibiotique, donnent des perturbations mixtes du bilan hépatique.</w:t>
      </w:r>
    </w:p>
    <w:p w:rsidR="00602081" w:rsidRDefault="0038356C" w:rsidP="0038356C">
      <w:pPr>
        <w:spacing w:line="312" w:lineRule="auto"/>
        <w:jc w:val="both"/>
        <w:rPr>
          <w:rFonts w:ascii="Tahoma" w:hAnsi="Tahoma" w:cs="Tahoma"/>
          <w:lang w:val="fr-CA"/>
        </w:rPr>
      </w:pPr>
      <w:r>
        <w:rPr>
          <w:rFonts w:ascii="Tahoma" w:hAnsi="Tahoma" w:cs="Tahoma"/>
          <w:lang w:val="fr-CA"/>
        </w:rPr>
        <w:t xml:space="preserve">La majorité des hépatites toxiques sont </w:t>
      </w:r>
      <w:r w:rsidRPr="00602081">
        <w:rPr>
          <w:rFonts w:ascii="Tahoma" w:hAnsi="Tahoma" w:cs="Tahoma"/>
          <w:color w:val="0070C0"/>
          <w:lang w:val="fr-CA"/>
        </w:rPr>
        <w:t xml:space="preserve">auto-résolutives </w:t>
      </w:r>
      <w:r>
        <w:rPr>
          <w:rFonts w:ascii="Tahoma" w:hAnsi="Tahoma" w:cs="Tahoma"/>
          <w:lang w:val="fr-CA"/>
        </w:rPr>
        <w:t>à l’arrêt de l’agent causal. Néanmoins, en cas d’atteinte hépatocellulaire avec ictère, il y a un taux de mortalité de 10 %</w:t>
      </w:r>
      <w:r w:rsidR="00602081">
        <w:rPr>
          <w:rFonts w:ascii="Tahoma" w:hAnsi="Tahoma" w:cs="Tahoma"/>
          <w:lang w:val="fr-CA"/>
        </w:rPr>
        <w:t xml:space="preserve"> ; les hépatites toxiques peuvent parfois évoluer jusqu’à la greffe hépatique. Pour terminer, il est important de noter que 25 % des cas d’hépatites fulminantes sont dus à une toxicité médicamenteuse.</w:t>
      </w:r>
    </w:p>
    <w:p w:rsidR="00602081" w:rsidRDefault="00602081" w:rsidP="0038356C">
      <w:pPr>
        <w:spacing w:line="312" w:lineRule="auto"/>
        <w:jc w:val="both"/>
        <w:rPr>
          <w:rFonts w:ascii="Tahoma" w:hAnsi="Tahoma" w:cs="Tahoma"/>
          <w:lang w:val="fr-CA"/>
        </w:rPr>
      </w:pPr>
      <w:r>
        <w:rPr>
          <w:rFonts w:ascii="Tahoma" w:hAnsi="Tahoma" w:cs="Tahoma"/>
          <w:lang w:val="fr-CA"/>
        </w:rPr>
        <w:br w:type="page"/>
      </w:r>
    </w:p>
    <w:p w:rsidR="00602081" w:rsidRPr="00D90353" w:rsidRDefault="00602081" w:rsidP="00602081">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4. L’HÉPATITE À L’ACÉTAMINOPHÈNE</w:t>
      </w:r>
    </w:p>
    <w:p w:rsidR="00602081" w:rsidRDefault="00602081" w:rsidP="00602081">
      <w:pPr>
        <w:spacing w:line="312" w:lineRule="auto"/>
        <w:jc w:val="both"/>
        <w:rPr>
          <w:rFonts w:ascii="Tahoma" w:hAnsi="Tahoma" w:cs="Tahoma"/>
          <w:lang w:val="fr-CA"/>
        </w:rPr>
      </w:pPr>
      <w:r>
        <w:rPr>
          <w:rFonts w:ascii="Tahoma" w:hAnsi="Tahoma" w:cs="Tahoma"/>
          <w:lang w:val="fr-CA"/>
        </w:rPr>
        <w:t>L’acétaminophène est une cause fréquente d’hépatite médicamenteuse, et la cause la plus fréquente d’hépatite fulminante. Parfois, l’intoxication est volontaire – notamment dans certains suicides ou dans certaines tentatives de suicide. Parfois, il s’agit plutôt d’une mésaventure thérapeutique.</w:t>
      </w:r>
    </w:p>
    <w:p w:rsidR="00602081" w:rsidRDefault="00602081" w:rsidP="00602081">
      <w:pPr>
        <w:spacing w:line="312" w:lineRule="auto"/>
        <w:jc w:val="both"/>
        <w:rPr>
          <w:rFonts w:ascii="Tahoma" w:hAnsi="Tahoma" w:cs="Tahoma"/>
          <w:lang w:val="fr-CA"/>
        </w:rPr>
      </w:pPr>
      <w:r>
        <w:rPr>
          <w:rFonts w:ascii="Tahoma" w:hAnsi="Tahoma" w:cs="Tahoma"/>
          <w:lang w:val="fr-CA"/>
        </w:rPr>
        <w:t xml:space="preserve">Au foie, l’acétaminophène est métabolisé par le </w:t>
      </w:r>
      <w:r w:rsidRPr="00602081">
        <w:rPr>
          <w:rFonts w:ascii="Tahoma" w:hAnsi="Tahoma" w:cs="Tahoma"/>
          <w:color w:val="0070C0"/>
          <w:lang w:val="fr-CA"/>
        </w:rPr>
        <w:t xml:space="preserve">cytochrome P450 </w:t>
      </w:r>
      <w:r>
        <w:rPr>
          <w:rFonts w:ascii="Tahoma" w:hAnsi="Tahoma" w:cs="Tahoma"/>
          <w:lang w:val="fr-CA"/>
        </w:rPr>
        <w:t xml:space="preserve">en </w:t>
      </w:r>
      <w:r w:rsidRPr="00602081">
        <w:rPr>
          <w:rFonts w:ascii="Tahoma" w:hAnsi="Tahoma" w:cs="Tahoma"/>
          <w:color w:val="0070C0"/>
          <w:lang w:val="fr-CA"/>
        </w:rPr>
        <w:t>NAPQ1</w:t>
      </w:r>
      <w:r>
        <w:rPr>
          <w:rFonts w:ascii="Tahoma" w:hAnsi="Tahoma" w:cs="Tahoma"/>
          <w:lang w:val="fr-CA"/>
        </w:rPr>
        <w:t xml:space="preserve">, qui se trouve à être la </w:t>
      </w:r>
      <w:r w:rsidRPr="00602081">
        <w:rPr>
          <w:rFonts w:ascii="Tahoma" w:hAnsi="Tahoma" w:cs="Tahoma"/>
          <w:lang w:val="fr-CA"/>
        </w:rPr>
        <w:t>N-acétyl-p-benzoquinone imine</w:t>
      </w:r>
      <w:r>
        <w:rPr>
          <w:rFonts w:ascii="Tahoma" w:hAnsi="Tahoma" w:cs="Tahoma"/>
          <w:lang w:val="fr-CA"/>
        </w:rPr>
        <w:t>. La NAPQ1 est hépatotoxique. Toutefois, elle peut être liée au glutathion et former un complexe inoffensif. Comme le glutathion a une capacité de conjugaison limitée à 4 g par jour, le fait de dépasser la posologie recommandée peut avoir des effets toxiques.</w:t>
      </w:r>
    </w:p>
    <w:p w:rsidR="00602081" w:rsidRDefault="006B3A7E" w:rsidP="00602081">
      <w:pPr>
        <w:spacing w:line="312" w:lineRule="auto"/>
        <w:jc w:val="both"/>
        <w:rPr>
          <w:rFonts w:ascii="Tahoma" w:hAnsi="Tahoma" w:cs="Tahoma"/>
          <w:lang w:val="fr-CA"/>
        </w:rPr>
      </w:pPr>
      <w:r>
        <w:rPr>
          <w:rFonts w:ascii="Tahoma" w:hAnsi="Tahoma" w:cs="Tahoma"/>
          <w:lang w:val="fr-CA"/>
        </w:rPr>
        <w:t>Il est aussi possible qu’il y ait une augmentation de la toxicité dans les cas suivants :</w:t>
      </w:r>
    </w:p>
    <w:p w:rsidR="006B3A7E" w:rsidRDefault="006B3A7E" w:rsidP="006B3A7E">
      <w:pPr>
        <w:pStyle w:val="Paragraphedeliste"/>
        <w:numPr>
          <w:ilvl w:val="0"/>
          <w:numId w:val="23"/>
        </w:numPr>
        <w:spacing w:line="312" w:lineRule="auto"/>
        <w:jc w:val="both"/>
        <w:rPr>
          <w:rFonts w:ascii="Tahoma" w:hAnsi="Tahoma" w:cs="Tahoma"/>
          <w:lang w:val="fr-CA"/>
        </w:rPr>
      </w:pPr>
      <w:r>
        <w:rPr>
          <w:rFonts w:ascii="Tahoma" w:hAnsi="Tahoma" w:cs="Tahoma"/>
          <w:lang w:val="fr-CA"/>
        </w:rPr>
        <w:t>Induction du cytochrome P450 (consommation chronique d’alcool, prise d’i</w:t>
      </w:r>
      <w:r w:rsidRPr="006B3A7E">
        <w:rPr>
          <w:rFonts w:ascii="Tahoma" w:hAnsi="Tahoma" w:cs="Tahoma"/>
          <w:lang w:val="fr-CA"/>
        </w:rPr>
        <w:t>soniazide</w:t>
      </w:r>
      <w:r>
        <w:rPr>
          <w:rFonts w:ascii="Tahoma" w:hAnsi="Tahoma" w:cs="Tahoma"/>
          <w:lang w:val="fr-CA"/>
        </w:rPr>
        <w:t>, obésité, diabète, etc.) ;</w:t>
      </w:r>
    </w:p>
    <w:p w:rsidR="006B3A7E" w:rsidRDefault="006B3A7E" w:rsidP="006B3A7E">
      <w:pPr>
        <w:pStyle w:val="Paragraphedeliste"/>
        <w:numPr>
          <w:ilvl w:val="0"/>
          <w:numId w:val="23"/>
        </w:numPr>
        <w:spacing w:line="312" w:lineRule="auto"/>
        <w:jc w:val="both"/>
        <w:rPr>
          <w:rFonts w:ascii="Tahoma" w:hAnsi="Tahoma" w:cs="Tahoma"/>
          <w:lang w:val="fr-CA"/>
        </w:rPr>
      </w:pPr>
      <w:r>
        <w:rPr>
          <w:rFonts w:ascii="Tahoma" w:hAnsi="Tahoma" w:cs="Tahoma"/>
          <w:lang w:val="fr-CA"/>
        </w:rPr>
        <w:t>Déplétion du glutathion, notamment en situation de jeûne.</w:t>
      </w:r>
    </w:p>
    <w:p w:rsidR="006B3A7E" w:rsidRDefault="006B3A7E" w:rsidP="006B3A7E">
      <w:pPr>
        <w:spacing w:line="312" w:lineRule="auto"/>
        <w:jc w:val="both"/>
        <w:rPr>
          <w:rFonts w:ascii="Tahoma" w:hAnsi="Tahoma" w:cs="Tahoma"/>
          <w:lang w:val="fr-CA"/>
        </w:rPr>
      </w:pPr>
      <w:r>
        <w:rPr>
          <w:rFonts w:ascii="Tahoma" w:hAnsi="Tahoma" w:cs="Tahoma"/>
          <w:lang w:val="fr-CA"/>
        </w:rPr>
        <w:t xml:space="preserve">Le traitement de l’hépatite à l’acétaminophène se fait au moyen de la </w:t>
      </w:r>
      <w:r w:rsidRPr="006B3A7E">
        <w:rPr>
          <w:rFonts w:ascii="Tahoma" w:hAnsi="Tahoma" w:cs="Tahoma"/>
          <w:color w:val="0070C0"/>
          <w:lang w:val="fr-CA"/>
        </w:rPr>
        <w:t>N-acétylcystéine</w:t>
      </w:r>
      <w:r>
        <w:rPr>
          <w:rFonts w:ascii="Tahoma" w:hAnsi="Tahoma" w:cs="Tahoma"/>
          <w:lang w:val="fr-CA"/>
        </w:rPr>
        <w:t>. Cette molécule joue le rôle du glutathion et aurait aussi un rôle à jouer dans l’amélioration de la microcirculation hépatique. Idéalement, il faut procéder à l’administration dans les huit heures de l’ingestion, mais on doit tout de même le faire à tout moment si l’on suspecte une intoxication à l’acétaminophène.</w:t>
      </w:r>
      <w:r>
        <w:rPr>
          <w:rFonts w:ascii="Tahoma" w:hAnsi="Tahoma" w:cs="Tahoma"/>
          <w:lang w:val="fr-CA"/>
        </w:rPr>
        <w:br w:type="page"/>
      </w:r>
    </w:p>
    <w:p w:rsidR="006B3A7E" w:rsidRPr="00D90353" w:rsidRDefault="006B3A7E" w:rsidP="006B3A7E">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5. LES AUTRES TYPES D’HÉPATITES</w:t>
      </w:r>
      <w:r w:rsidR="005D04D3">
        <w:rPr>
          <w:rFonts w:ascii="Tahoma" w:hAnsi="Tahoma" w:cs="Tahoma"/>
          <w:color w:val="0070C0"/>
          <w:sz w:val="24"/>
          <w:lang w:val="fr-CA"/>
        </w:rPr>
        <w:t xml:space="preserve"> AIGUËS</w:t>
      </w:r>
    </w:p>
    <w:p w:rsidR="006B3A7E" w:rsidRDefault="006B3A7E" w:rsidP="006B3A7E">
      <w:pPr>
        <w:spacing w:line="312" w:lineRule="auto"/>
        <w:jc w:val="both"/>
        <w:rPr>
          <w:rFonts w:ascii="Tahoma" w:hAnsi="Tahoma" w:cs="Tahoma"/>
          <w:lang w:val="fr-CA"/>
        </w:rPr>
      </w:pPr>
      <w:r>
        <w:rPr>
          <w:rFonts w:ascii="Tahoma" w:hAnsi="Tahoma" w:cs="Tahoma"/>
          <w:lang w:val="fr-CA"/>
        </w:rPr>
        <w:t xml:space="preserve">L’hépatite </w:t>
      </w:r>
      <w:r w:rsidRPr="006B3A7E">
        <w:rPr>
          <w:rFonts w:ascii="Tahoma" w:hAnsi="Tahoma" w:cs="Tahoma"/>
          <w:color w:val="0070C0"/>
          <w:lang w:val="fr-CA"/>
        </w:rPr>
        <w:t xml:space="preserve">auto-immune </w:t>
      </w:r>
      <w:r>
        <w:rPr>
          <w:rFonts w:ascii="Tahoma" w:hAnsi="Tahoma" w:cs="Tahoma"/>
          <w:lang w:val="fr-CA"/>
        </w:rPr>
        <w:t>peut être primaire ou induite par un médicament comme l’interféron ou divers antibiotiques – notamment la tétracycline. En cas d’hépatite auto-immune, il y aura une prolifération des auto-anticorps, qu’on pourra détecter à l’électrophorèse des protéines :</w:t>
      </w:r>
    </w:p>
    <w:p w:rsidR="006B3A7E" w:rsidRDefault="006B3A7E" w:rsidP="006B3A7E">
      <w:pPr>
        <w:pStyle w:val="Paragraphedeliste"/>
        <w:numPr>
          <w:ilvl w:val="0"/>
          <w:numId w:val="24"/>
        </w:numPr>
        <w:spacing w:line="312" w:lineRule="auto"/>
        <w:jc w:val="both"/>
        <w:rPr>
          <w:rFonts w:ascii="Tahoma" w:hAnsi="Tahoma" w:cs="Tahoma"/>
          <w:lang w:val="fr-CA"/>
        </w:rPr>
      </w:pPr>
      <w:r>
        <w:rPr>
          <w:rFonts w:ascii="Tahoma" w:hAnsi="Tahoma" w:cs="Tahoma"/>
          <w:lang w:val="fr-CA"/>
        </w:rPr>
        <w:t>Anticorps antinucléaire (ANA) ;</w:t>
      </w:r>
    </w:p>
    <w:p w:rsidR="006B3A7E" w:rsidRDefault="006B3A7E" w:rsidP="006B3A7E">
      <w:pPr>
        <w:pStyle w:val="Paragraphedeliste"/>
        <w:numPr>
          <w:ilvl w:val="0"/>
          <w:numId w:val="24"/>
        </w:numPr>
        <w:spacing w:line="312" w:lineRule="auto"/>
        <w:jc w:val="both"/>
        <w:rPr>
          <w:rFonts w:ascii="Tahoma" w:hAnsi="Tahoma" w:cs="Tahoma"/>
          <w:lang w:val="fr-CA"/>
        </w:rPr>
      </w:pPr>
      <w:r>
        <w:rPr>
          <w:rFonts w:ascii="Tahoma" w:hAnsi="Tahoma" w:cs="Tahoma"/>
          <w:lang w:val="fr-CA"/>
        </w:rPr>
        <w:t>A</w:t>
      </w:r>
      <w:r w:rsidRPr="006B3A7E">
        <w:rPr>
          <w:rFonts w:ascii="Tahoma" w:hAnsi="Tahoma" w:cs="Tahoma"/>
          <w:lang w:val="fr-CA"/>
        </w:rPr>
        <w:t>nticorps anti-microsomes du foie et du rein</w:t>
      </w:r>
      <w:r>
        <w:rPr>
          <w:rFonts w:ascii="Tahoma" w:hAnsi="Tahoma" w:cs="Tahoma"/>
          <w:lang w:val="fr-CA"/>
        </w:rPr>
        <w:t xml:space="preserve"> (anti-LKM) ;</w:t>
      </w:r>
    </w:p>
    <w:p w:rsidR="006B3A7E" w:rsidRDefault="006B3A7E" w:rsidP="006B3A7E">
      <w:pPr>
        <w:pStyle w:val="Paragraphedeliste"/>
        <w:numPr>
          <w:ilvl w:val="0"/>
          <w:numId w:val="24"/>
        </w:numPr>
        <w:spacing w:line="312" w:lineRule="auto"/>
        <w:jc w:val="both"/>
        <w:rPr>
          <w:rFonts w:ascii="Tahoma" w:hAnsi="Tahoma" w:cs="Tahoma"/>
          <w:lang w:val="fr-CA"/>
        </w:rPr>
      </w:pPr>
      <w:r>
        <w:rPr>
          <w:rFonts w:ascii="Tahoma" w:hAnsi="Tahoma" w:cs="Tahoma"/>
          <w:lang w:val="fr-CA"/>
        </w:rPr>
        <w:t>A</w:t>
      </w:r>
      <w:r w:rsidRPr="006B3A7E">
        <w:rPr>
          <w:rFonts w:ascii="Tahoma" w:hAnsi="Tahoma" w:cs="Tahoma"/>
          <w:lang w:val="fr-CA"/>
        </w:rPr>
        <w:t>nticorps anti-muscles lisses</w:t>
      </w:r>
      <w:r>
        <w:rPr>
          <w:rFonts w:ascii="Tahoma" w:hAnsi="Tahoma" w:cs="Tahoma"/>
          <w:lang w:val="fr-CA"/>
        </w:rPr>
        <w:t xml:space="preserve"> ;</w:t>
      </w:r>
    </w:p>
    <w:p w:rsidR="006B3A7E" w:rsidRDefault="006B3A7E" w:rsidP="006B3A7E">
      <w:pPr>
        <w:pStyle w:val="Paragraphedeliste"/>
        <w:numPr>
          <w:ilvl w:val="0"/>
          <w:numId w:val="24"/>
        </w:numPr>
        <w:spacing w:line="312" w:lineRule="auto"/>
        <w:jc w:val="both"/>
        <w:rPr>
          <w:rFonts w:ascii="Tahoma" w:hAnsi="Tahoma" w:cs="Tahoma"/>
          <w:lang w:val="fr-CA"/>
        </w:rPr>
      </w:pPr>
      <w:r>
        <w:rPr>
          <w:rFonts w:ascii="Tahoma" w:hAnsi="Tahoma" w:cs="Tahoma"/>
          <w:lang w:val="fr-CA"/>
        </w:rPr>
        <w:t>Immunoglobulines G ou autres gamma</w:t>
      </w:r>
      <w:r w:rsidRPr="006B3A7E">
        <w:rPr>
          <w:rFonts w:ascii="Tahoma" w:hAnsi="Tahoma" w:cs="Tahoma"/>
          <w:lang w:val="fr-CA"/>
        </w:rPr>
        <w:t>globulines</w:t>
      </w:r>
      <w:r>
        <w:rPr>
          <w:rFonts w:ascii="Tahoma" w:hAnsi="Tahoma" w:cs="Tahoma"/>
          <w:lang w:val="fr-CA"/>
        </w:rPr>
        <w:t>.</w:t>
      </w:r>
    </w:p>
    <w:p w:rsidR="006B3A7E" w:rsidRDefault="006B3A7E" w:rsidP="006B3A7E">
      <w:pPr>
        <w:spacing w:line="312" w:lineRule="auto"/>
        <w:jc w:val="both"/>
        <w:rPr>
          <w:rFonts w:ascii="Tahoma" w:hAnsi="Tahoma" w:cs="Tahoma"/>
          <w:lang w:val="fr-CA"/>
        </w:rPr>
      </w:pPr>
      <w:r>
        <w:rPr>
          <w:rFonts w:ascii="Tahoma" w:hAnsi="Tahoma" w:cs="Tahoma"/>
          <w:lang w:val="fr-CA"/>
        </w:rPr>
        <w:t>L’hépatite auto-immune est souvent retrouvée chez des patients ayant des antécédents personnels et familiaux d’atteintes auto-immunes. Il s’agit d’une maladie chronique qui peut évoluer jusqu’à la greffe dans les cas plus graves.</w:t>
      </w:r>
    </w:p>
    <w:p w:rsidR="006B3A7E" w:rsidRDefault="00BF6CCE" w:rsidP="006B3A7E">
      <w:pPr>
        <w:spacing w:line="312" w:lineRule="auto"/>
        <w:jc w:val="both"/>
        <w:rPr>
          <w:rFonts w:ascii="Tahoma" w:hAnsi="Tahoma" w:cs="Tahoma"/>
          <w:lang w:val="fr-CA"/>
        </w:rPr>
      </w:pPr>
      <w:r>
        <w:rPr>
          <w:rFonts w:ascii="Tahoma" w:hAnsi="Tahoma" w:cs="Tahoma"/>
          <w:lang w:val="fr-CA"/>
        </w:rPr>
        <w:t>L’</w:t>
      </w:r>
      <w:r w:rsidRPr="00BF6CCE">
        <w:rPr>
          <w:rFonts w:ascii="Tahoma" w:hAnsi="Tahoma" w:cs="Tahoma"/>
          <w:color w:val="0070C0"/>
          <w:lang w:val="fr-CA"/>
        </w:rPr>
        <w:t xml:space="preserve">hépatite métabolique </w:t>
      </w:r>
      <w:r>
        <w:rPr>
          <w:rFonts w:ascii="Tahoma" w:hAnsi="Tahoma" w:cs="Tahoma"/>
          <w:lang w:val="fr-CA"/>
        </w:rPr>
        <w:t xml:space="preserve">peut être causée par la maladie de </w:t>
      </w:r>
      <w:r w:rsidRPr="00BF6CCE">
        <w:rPr>
          <w:rFonts w:ascii="Tahoma" w:hAnsi="Tahoma" w:cs="Tahoma"/>
          <w:color w:val="0070C0"/>
          <w:lang w:val="fr-CA"/>
        </w:rPr>
        <w:t>Wilson</w:t>
      </w:r>
      <w:r>
        <w:rPr>
          <w:rFonts w:ascii="Tahoma" w:hAnsi="Tahoma" w:cs="Tahoma"/>
          <w:lang w:val="fr-CA"/>
        </w:rPr>
        <w:t xml:space="preserve"> (défaut d’excrétion du cuivre) ou par un déficit en </w:t>
      </w:r>
      <w:r w:rsidR="001F21AF">
        <w:rPr>
          <w:rFonts w:ascii="Tahoma" w:hAnsi="Tahoma" w:cs="Tahoma"/>
          <w:color w:val="0070C0"/>
          <w:lang w:val="fr-CA"/>
        </w:rPr>
        <w:t>α</w:t>
      </w:r>
      <w:r w:rsidRPr="001F21AF">
        <w:rPr>
          <w:rFonts w:ascii="Tahoma" w:hAnsi="Tahoma" w:cs="Tahoma"/>
          <w:color w:val="0070C0"/>
          <w:vertAlign w:val="subscript"/>
          <w:lang w:val="fr-CA"/>
        </w:rPr>
        <w:t>1</w:t>
      </w:r>
      <w:r w:rsidRPr="00BF6CCE">
        <w:rPr>
          <w:rFonts w:ascii="Tahoma" w:hAnsi="Tahoma" w:cs="Tahoma"/>
          <w:color w:val="0070C0"/>
          <w:lang w:val="fr-CA"/>
        </w:rPr>
        <w:t>-antitrypsine</w:t>
      </w:r>
      <w:r>
        <w:rPr>
          <w:rFonts w:ascii="Tahoma" w:hAnsi="Tahoma" w:cs="Tahoma"/>
          <w:lang w:val="fr-CA"/>
        </w:rPr>
        <w:t xml:space="preserve">, qui </w:t>
      </w:r>
      <w:r w:rsidRPr="00BF6CCE">
        <w:rPr>
          <w:rFonts w:ascii="Tahoma" w:hAnsi="Tahoma" w:cs="Tahoma"/>
          <w:lang w:val="fr-CA"/>
        </w:rPr>
        <w:t>protège les tissus contre des enzymes produites par des cellules inflammatoires</w:t>
      </w:r>
      <w:r w:rsidR="00B937D1">
        <w:rPr>
          <w:rStyle w:val="Appelnotedebasdep"/>
          <w:rFonts w:ascii="Tahoma" w:hAnsi="Tahoma" w:cs="Tahoma"/>
          <w:lang w:val="fr-CA"/>
        </w:rPr>
        <w:footnoteReference w:id="5"/>
      </w:r>
      <w:r>
        <w:rPr>
          <w:rFonts w:ascii="Tahoma" w:hAnsi="Tahoma" w:cs="Tahoma"/>
          <w:lang w:val="fr-CA"/>
        </w:rPr>
        <w:t>.</w:t>
      </w:r>
    </w:p>
    <w:p w:rsidR="00BF6CCE" w:rsidRDefault="00BF6CCE" w:rsidP="006B3A7E">
      <w:pPr>
        <w:spacing w:line="312" w:lineRule="auto"/>
        <w:jc w:val="both"/>
        <w:rPr>
          <w:rFonts w:ascii="Tahoma" w:hAnsi="Tahoma" w:cs="Tahoma"/>
          <w:lang w:val="fr-CA"/>
        </w:rPr>
      </w:pPr>
      <w:r>
        <w:rPr>
          <w:rFonts w:ascii="Tahoma" w:hAnsi="Tahoma" w:cs="Tahoma"/>
          <w:lang w:val="fr-CA"/>
        </w:rPr>
        <w:t>L’</w:t>
      </w:r>
      <w:r w:rsidRPr="00BF6CCE">
        <w:rPr>
          <w:rFonts w:ascii="Tahoma" w:hAnsi="Tahoma" w:cs="Tahoma"/>
          <w:color w:val="0070C0"/>
          <w:lang w:val="fr-CA"/>
        </w:rPr>
        <w:t xml:space="preserve">hépatite vasculaire </w:t>
      </w:r>
      <w:r>
        <w:rPr>
          <w:rFonts w:ascii="Tahoma" w:hAnsi="Tahoma" w:cs="Tahoma"/>
          <w:lang w:val="fr-CA"/>
        </w:rPr>
        <w:t xml:space="preserve">est associée au syndrome de Budd-Chiari, qui </w:t>
      </w:r>
      <w:r w:rsidRPr="00BF6CCE">
        <w:rPr>
          <w:rFonts w:ascii="Tahoma" w:hAnsi="Tahoma" w:cs="Tahoma"/>
          <w:lang w:val="fr-CA"/>
        </w:rPr>
        <w:t>résulte de l’obstruction d’au moins une des trois veines sus-hépatiques par une thrombose ou une tumeur.</w:t>
      </w:r>
      <w:r>
        <w:rPr>
          <w:rFonts w:ascii="Tahoma" w:hAnsi="Tahoma" w:cs="Tahoma"/>
          <w:lang w:val="fr-CA"/>
        </w:rPr>
        <w:t xml:space="preserve"> On retrouvera une congestion hépatique. La présentation peut être aiguë, subaiguë ou chronique, cas dans lequel il peut y avoir une évolution jusqu’à la cirrhose.</w:t>
      </w:r>
    </w:p>
    <w:p w:rsidR="00BF6CCE" w:rsidRDefault="00BF6CCE" w:rsidP="006B3A7E">
      <w:pPr>
        <w:spacing w:line="312" w:lineRule="auto"/>
        <w:jc w:val="both"/>
        <w:rPr>
          <w:rFonts w:ascii="Tahoma" w:hAnsi="Tahoma" w:cs="Tahoma"/>
          <w:lang w:val="fr-CA"/>
        </w:rPr>
      </w:pPr>
      <w:r>
        <w:rPr>
          <w:rFonts w:ascii="Tahoma" w:hAnsi="Tahoma" w:cs="Tahoma"/>
          <w:lang w:val="fr-CA"/>
        </w:rPr>
        <w:t xml:space="preserve">Le diagnostic du syndrome de Budd-Chiari se fait à l’angio-tomodensitométrie, à l’angio-IRM ou à l’échographie Doppler du foie. Il y a </w:t>
      </w:r>
      <w:r w:rsidR="00DF7F28">
        <w:rPr>
          <w:rFonts w:ascii="Tahoma" w:hAnsi="Tahoma" w:cs="Tahoma"/>
          <w:lang w:val="fr-CA"/>
        </w:rPr>
        <w:t xml:space="preserve">souvent </w:t>
      </w:r>
      <w:r>
        <w:rPr>
          <w:rFonts w:ascii="Tahoma" w:hAnsi="Tahoma" w:cs="Tahoma"/>
          <w:lang w:val="fr-CA"/>
        </w:rPr>
        <w:t>une association avec un</w:t>
      </w:r>
      <w:r w:rsidR="00DF7F28">
        <w:rPr>
          <w:rFonts w:ascii="Tahoma" w:hAnsi="Tahoma" w:cs="Tahoma"/>
          <w:lang w:val="fr-CA"/>
        </w:rPr>
        <w:t xml:space="preserve"> syndrome </w:t>
      </w:r>
      <w:proofErr w:type="spellStart"/>
      <w:r w:rsidR="00DF7F28">
        <w:rPr>
          <w:rFonts w:ascii="Tahoma" w:hAnsi="Tahoma" w:cs="Tahoma"/>
          <w:lang w:val="fr-CA"/>
        </w:rPr>
        <w:t>myéloprolifératif</w:t>
      </w:r>
      <w:proofErr w:type="spellEnd"/>
      <w:r>
        <w:rPr>
          <w:rFonts w:ascii="Tahoma" w:hAnsi="Tahoma" w:cs="Tahoma"/>
          <w:lang w:val="fr-CA"/>
        </w:rPr>
        <w:t>, caractérisé</w:t>
      </w:r>
      <w:r w:rsidRPr="00BF6CCE">
        <w:rPr>
          <w:rFonts w:ascii="Tahoma" w:hAnsi="Tahoma" w:cs="Tahoma"/>
          <w:lang w:val="fr-CA"/>
        </w:rPr>
        <w:t xml:space="preserve"> par une production anormale, d'allure cancéreuse, de certains types de cellules sanguines dans la moelle osseuse</w:t>
      </w:r>
      <w:r>
        <w:rPr>
          <w:rFonts w:ascii="Tahoma" w:hAnsi="Tahoma" w:cs="Tahoma"/>
          <w:lang w:val="fr-CA"/>
        </w:rPr>
        <w:t>. Lors de l’investigation, il est donc important de rechercher un tel syndrome ou d’autres formes de thrombophilie. Les traitements incluent, dans l’ordre, l’anticoagulothérapie, le TIP</w:t>
      </w:r>
      <w:bookmarkStart w:id="0" w:name="_GoBack"/>
      <w:bookmarkEnd w:id="0"/>
      <w:r>
        <w:rPr>
          <w:rFonts w:ascii="Tahoma" w:hAnsi="Tahoma" w:cs="Tahoma"/>
          <w:lang w:val="fr-CA"/>
        </w:rPr>
        <w:t>S et la transplantation hépatique.</w:t>
      </w:r>
    </w:p>
    <w:p w:rsidR="00E17847" w:rsidRPr="005D04D3" w:rsidRDefault="00BF6CCE" w:rsidP="005D04D3">
      <w:pPr>
        <w:spacing w:line="312" w:lineRule="auto"/>
        <w:jc w:val="both"/>
        <w:rPr>
          <w:rFonts w:ascii="Tahoma" w:hAnsi="Tahoma" w:cs="Tahoma"/>
          <w:lang w:val="fr-CA"/>
        </w:rPr>
      </w:pPr>
      <w:r>
        <w:rPr>
          <w:rFonts w:ascii="Tahoma" w:hAnsi="Tahoma" w:cs="Tahoma"/>
          <w:lang w:val="fr-CA"/>
        </w:rPr>
        <w:t>L’</w:t>
      </w:r>
      <w:r w:rsidRPr="00BF6CCE">
        <w:rPr>
          <w:rFonts w:ascii="Tahoma" w:hAnsi="Tahoma" w:cs="Tahoma"/>
          <w:color w:val="0070C0"/>
          <w:lang w:val="fr-CA"/>
        </w:rPr>
        <w:t xml:space="preserve">hépatite ischémique </w:t>
      </w:r>
      <w:r>
        <w:rPr>
          <w:rFonts w:ascii="Tahoma" w:hAnsi="Tahoma" w:cs="Tahoma"/>
          <w:lang w:val="fr-CA"/>
        </w:rPr>
        <w:t xml:space="preserve">(aussi appelée « foie de choc ») n’est pas une vraie inflammation. Il s’agit plutôt </w:t>
      </w:r>
      <w:r w:rsidR="00FD2B1B">
        <w:rPr>
          <w:rFonts w:ascii="Tahoma" w:hAnsi="Tahoma" w:cs="Tahoma"/>
          <w:lang w:val="fr-CA"/>
        </w:rPr>
        <w:t>d’une instabilité hémodynamique avec arythmies et hypoxémie majeure au foie qui provoque de la nécrose hépatocytaire.</w:t>
      </w:r>
    </w:p>
    <w:sectPr w:rsidR="00E17847" w:rsidRPr="005D04D3" w:rsidSect="00602081">
      <w:type w:val="continuous"/>
      <w:pgSz w:w="12240" w:h="15840"/>
      <w:pgMar w:top="1418" w:right="1701" w:bottom="1418" w:left="1701" w:header="709" w:footer="709" w:gutter="0"/>
      <w:pgNumType w:fmt="upperRoman" w:start="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77D" w:rsidRDefault="0053177D" w:rsidP="000C3A07">
      <w:pPr>
        <w:spacing w:after="0" w:line="240" w:lineRule="auto"/>
      </w:pPr>
      <w:r>
        <w:separator/>
      </w:r>
    </w:p>
  </w:endnote>
  <w:endnote w:type="continuationSeparator" w:id="0">
    <w:p w:rsidR="0053177D" w:rsidRDefault="0053177D" w:rsidP="000C3A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77D" w:rsidRDefault="0053177D" w:rsidP="000C3A07">
      <w:pPr>
        <w:spacing w:after="0" w:line="240" w:lineRule="auto"/>
      </w:pPr>
      <w:r>
        <w:separator/>
      </w:r>
    </w:p>
  </w:footnote>
  <w:footnote w:type="continuationSeparator" w:id="0">
    <w:p w:rsidR="0053177D" w:rsidRDefault="0053177D" w:rsidP="000C3A07">
      <w:pPr>
        <w:spacing w:after="0" w:line="240" w:lineRule="auto"/>
      </w:pPr>
      <w:r>
        <w:continuationSeparator/>
      </w:r>
    </w:p>
  </w:footnote>
  <w:footnote w:id="1">
    <w:p w:rsidR="00F817B7" w:rsidRPr="00730C93" w:rsidRDefault="00F817B7">
      <w:pPr>
        <w:pStyle w:val="Notedebasdepage"/>
        <w:rPr>
          <w:rFonts w:ascii="Tahoma" w:hAnsi="Tahoma" w:cs="Tahoma"/>
          <w:sz w:val="18"/>
          <w:szCs w:val="18"/>
          <w:lang w:val="fr-CA"/>
        </w:rPr>
      </w:pPr>
      <w:r w:rsidRPr="00730C93">
        <w:rPr>
          <w:rStyle w:val="Appelnotedebasdep"/>
          <w:rFonts w:ascii="Tahoma" w:hAnsi="Tahoma" w:cs="Tahoma"/>
          <w:sz w:val="18"/>
          <w:szCs w:val="18"/>
        </w:rPr>
        <w:footnoteRef/>
      </w:r>
      <w:r w:rsidRPr="00730C93">
        <w:rPr>
          <w:rFonts w:ascii="Tahoma" w:hAnsi="Tahoma" w:cs="Tahoma"/>
          <w:sz w:val="18"/>
          <w:szCs w:val="18"/>
          <w:lang w:val="fr-CA"/>
        </w:rPr>
        <w:t xml:space="preserve"> Dissolution ou destruction des cellules.</w:t>
      </w:r>
    </w:p>
  </w:footnote>
  <w:footnote w:id="2">
    <w:p w:rsidR="00F817B7" w:rsidRPr="00730C93" w:rsidRDefault="00F817B7">
      <w:pPr>
        <w:pStyle w:val="Notedebasdepage"/>
        <w:rPr>
          <w:rFonts w:ascii="Tahoma" w:hAnsi="Tahoma" w:cs="Tahoma"/>
          <w:sz w:val="18"/>
          <w:szCs w:val="18"/>
          <w:lang w:val="fr-CA"/>
        </w:rPr>
      </w:pPr>
      <w:r w:rsidRPr="00730C93">
        <w:rPr>
          <w:rStyle w:val="Appelnotedebasdep"/>
          <w:rFonts w:ascii="Tahoma" w:hAnsi="Tahoma" w:cs="Tahoma"/>
          <w:sz w:val="18"/>
          <w:szCs w:val="18"/>
        </w:rPr>
        <w:footnoteRef/>
      </w:r>
      <w:r w:rsidRPr="00A614AE">
        <w:rPr>
          <w:rFonts w:ascii="Tahoma" w:hAnsi="Tahoma" w:cs="Tahoma"/>
          <w:sz w:val="18"/>
          <w:szCs w:val="18"/>
          <w:lang w:val="fr-CA"/>
        </w:rPr>
        <w:t xml:space="preserve"> </w:t>
      </w:r>
      <w:r w:rsidRPr="00730C93">
        <w:rPr>
          <w:rFonts w:ascii="Tahoma" w:hAnsi="Tahoma" w:cs="Tahoma"/>
          <w:sz w:val="18"/>
          <w:szCs w:val="18"/>
          <w:lang w:val="fr-CA"/>
        </w:rPr>
        <w:t>En cas d’hépatite virale.</w:t>
      </w:r>
    </w:p>
  </w:footnote>
  <w:footnote w:id="3">
    <w:p w:rsidR="00F817B7" w:rsidRPr="00730C93" w:rsidRDefault="00F817B7">
      <w:pPr>
        <w:pStyle w:val="Notedebasdepage"/>
        <w:rPr>
          <w:lang w:val="fr-CA"/>
        </w:rPr>
      </w:pPr>
      <w:r w:rsidRPr="00730C93">
        <w:rPr>
          <w:rStyle w:val="Appelnotedebasdep"/>
          <w:rFonts w:ascii="Tahoma" w:hAnsi="Tahoma" w:cs="Tahoma"/>
          <w:sz w:val="18"/>
          <w:szCs w:val="18"/>
        </w:rPr>
        <w:footnoteRef/>
      </w:r>
      <w:r w:rsidRPr="00730C93">
        <w:rPr>
          <w:rFonts w:ascii="Tahoma" w:hAnsi="Tahoma" w:cs="Tahoma"/>
          <w:sz w:val="18"/>
          <w:szCs w:val="18"/>
          <w:lang w:val="fr-CA"/>
        </w:rPr>
        <w:t xml:space="preserve"> Synthèse du g</w:t>
      </w:r>
      <w:r>
        <w:rPr>
          <w:rFonts w:ascii="Tahoma" w:hAnsi="Tahoma" w:cs="Tahoma"/>
          <w:sz w:val="18"/>
          <w:szCs w:val="18"/>
          <w:lang w:val="fr-CA"/>
        </w:rPr>
        <w:t xml:space="preserve">lucose à partir de composés non </w:t>
      </w:r>
      <w:r w:rsidRPr="00730C93">
        <w:rPr>
          <w:rFonts w:ascii="Tahoma" w:hAnsi="Tahoma" w:cs="Tahoma"/>
          <w:sz w:val="18"/>
          <w:szCs w:val="18"/>
          <w:lang w:val="fr-CA"/>
        </w:rPr>
        <w:t>glucidiques.</w:t>
      </w:r>
    </w:p>
  </w:footnote>
  <w:footnote w:id="4">
    <w:p w:rsidR="00F817B7" w:rsidRPr="001215ED" w:rsidRDefault="00F817B7">
      <w:pPr>
        <w:pStyle w:val="Notedebasdepage"/>
        <w:rPr>
          <w:rFonts w:ascii="Tahoma" w:hAnsi="Tahoma" w:cs="Tahoma"/>
          <w:sz w:val="18"/>
          <w:szCs w:val="18"/>
          <w:lang w:val="fr-CA"/>
        </w:rPr>
      </w:pPr>
      <w:r w:rsidRPr="001215ED">
        <w:rPr>
          <w:rStyle w:val="Appelnotedebasdep"/>
          <w:rFonts w:ascii="Tahoma" w:hAnsi="Tahoma" w:cs="Tahoma"/>
          <w:sz w:val="18"/>
          <w:szCs w:val="18"/>
        </w:rPr>
        <w:footnoteRef/>
      </w:r>
      <w:r w:rsidRPr="00B937D1">
        <w:rPr>
          <w:rFonts w:ascii="Tahoma" w:hAnsi="Tahoma" w:cs="Tahoma"/>
          <w:sz w:val="18"/>
          <w:szCs w:val="18"/>
          <w:lang w:val="fr-CA"/>
        </w:rPr>
        <w:t xml:space="preserve"> </w:t>
      </w:r>
      <w:r w:rsidRPr="001215ED">
        <w:rPr>
          <w:rFonts w:ascii="Tahoma" w:hAnsi="Tahoma" w:cs="Tahoma"/>
          <w:sz w:val="18"/>
          <w:szCs w:val="18"/>
          <w:lang w:val="fr-CA"/>
        </w:rPr>
        <w:t>Atteint les patients immunosupprimés.</w:t>
      </w:r>
    </w:p>
  </w:footnote>
  <w:footnote w:id="5">
    <w:p w:rsidR="00B937D1" w:rsidRPr="00B937D1" w:rsidRDefault="00B937D1">
      <w:pPr>
        <w:pStyle w:val="Notedebasdepage"/>
        <w:rPr>
          <w:rFonts w:ascii="Tahoma" w:hAnsi="Tahoma" w:cs="Tahoma"/>
          <w:sz w:val="18"/>
          <w:szCs w:val="18"/>
          <w:lang w:val="fr-CA"/>
        </w:rPr>
      </w:pPr>
      <w:r w:rsidRPr="00B937D1">
        <w:rPr>
          <w:rStyle w:val="Appelnotedebasdep"/>
          <w:rFonts w:ascii="Tahoma" w:hAnsi="Tahoma" w:cs="Tahoma"/>
          <w:sz w:val="18"/>
          <w:szCs w:val="18"/>
        </w:rPr>
        <w:footnoteRef/>
      </w:r>
      <w:r w:rsidR="001F21AF">
        <w:rPr>
          <w:rFonts w:ascii="Tahoma" w:hAnsi="Tahoma" w:cs="Tahoma"/>
          <w:sz w:val="18"/>
          <w:szCs w:val="18"/>
          <w:lang w:val="fr-CA"/>
        </w:rPr>
        <w:t xml:space="preserve"> Le déficit en α</w:t>
      </w:r>
      <w:r w:rsidRPr="001F21AF">
        <w:rPr>
          <w:rFonts w:ascii="Tahoma" w:hAnsi="Tahoma" w:cs="Tahoma"/>
          <w:sz w:val="18"/>
          <w:szCs w:val="18"/>
          <w:vertAlign w:val="subscript"/>
          <w:lang w:val="fr-CA"/>
        </w:rPr>
        <w:t>1</w:t>
      </w:r>
      <w:r w:rsidRPr="00B937D1">
        <w:rPr>
          <w:rFonts w:ascii="Tahoma" w:hAnsi="Tahoma" w:cs="Tahoma"/>
          <w:sz w:val="18"/>
          <w:szCs w:val="18"/>
          <w:lang w:val="fr-CA"/>
        </w:rPr>
        <w:t>-antitrypsine peut aussi être chronique.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3598444"/>
      <w:docPartObj>
        <w:docPartGallery w:val="Page Numbers (Top of Page)"/>
        <w:docPartUnique/>
      </w:docPartObj>
    </w:sdtPr>
    <w:sdtEndPr>
      <w:rPr>
        <w:rFonts w:ascii="Tahoma" w:hAnsi="Tahoma" w:cs="Tahoma"/>
        <w:sz w:val="20"/>
      </w:rPr>
    </w:sdtEndPr>
    <w:sdtContent>
      <w:p w:rsidR="00F817B7" w:rsidRPr="00E66A15" w:rsidRDefault="00F817B7">
        <w:pPr>
          <w:pStyle w:val="En-tte"/>
          <w:jc w:val="right"/>
          <w:rPr>
            <w:rFonts w:ascii="Tahoma" w:hAnsi="Tahoma" w:cs="Tahoma"/>
            <w:sz w:val="20"/>
          </w:rPr>
        </w:pPr>
        <w:r w:rsidRPr="00E66A15">
          <w:rPr>
            <w:rFonts w:ascii="Tahoma" w:hAnsi="Tahoma" w:cs="Tahoma"/>
            <w:sz w:val="20"/>
          </w:rPr>
          <w:fldChar w:fldCharType="begin"/>
        </w:r>
        <w:r w:rsidRPr="00E66A15">
          <w:rPr>
            <w:rFonts w:ascii="Tahoma" w:hAnsi="Tahoma" w:cs="Tahoma"/>
            <w:sz w:val="20"/>
          </w:rPr>
          <w:instrText>PAGE   \* MERGEFORMAT</w:instrText>
        </w:r>
        <w:r w:rsidRPr="00E66A15">
          <w:rPr>
            <w:rFonts w:ascii="Tahoma" w:hAnsi="Tahoma" w:cs="Tahoma"/>
            <w:sz w:val="20"/>
          </w:rPr>
          <w:fldChar w:fldCharType="separate"/>
        </w:r>
        <w:r w:rsidR="00DF7F28" w:rsidRPr="00DF7F28">
          <w:rPr>
            <w:rFonts w:ascii="Tahoma" w:hAnsi="Tahoma" w:cs="Tahoma"/>
            <w:noProof/>
            <w:sz w:val="20"/>
            <w:lang w:val="fr-FR"/>
          </w:rPr>
          <w:t>VII</w:t>
        </w:r>
        <w:r w:rsidRPr="00E66A15">
          <w:rPr>
            <w:rFonts w:ascii="Tahoma" w:hAnsi="Tahoma" w:cs="Tahoma"/>
            <w:sz w:val="20"/>
          </w:rPr>
          <w:fldChar w:fldCharType="end"/>
        </w:r>
      </w:p>
    </w:sdtContent>
  </w:sdt>
  <w:p w:rsidR="00F817B7" w:rsidRDefault="00F817B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F3C1C"/>
    <w:multiLevelType w:val="hybridMultilevel"/>
    <w:tmpl w:val="652C9F8A"/>
    <w:lvl w:ilvl="0" w:tplc="16925B60">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06EC3132"/>
    <w:multiLevelType w:val="hybridMultilevel"/>
    <w:tmpl w:val="EB6E9440"/>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10DD2DAA"/>
    <w:multiLevelType w:val="hybridMultilevel"/>
    <w:tmpl w:val="07AE2046"/>
    <w:lvl w:ilvl="0" w:tplc="4BF42D2C">
      <w:start w:val="1"/>
      <w:numFmt w:val="bullet"/>
      <w:lvlText w:val=""/>
      <w:lvlJc w:val="left"/>
      <w:pPr>
        <w:ind w:left="720" w:hanging="360"/>
      </w:pPr>
      <w:rPr>
        <w:rFonts w:ascii="Symbol" w:hAnsi="Symbol" w:hint="default"/>
        <w:color w:val="0070C0"/>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16711B99"/>
    <w:multiLevelType w:val="hybridMultilevel"/>
    <w:tmpl w:val="CCFA0C3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23BD3F56"/>
    <w:multiLevelType w:val="hybridMultilevel"/>
    <w:tmpl w:val="ED9E7064"/>
    <w:lvl w:ilvl="0" w:tplc="16925B60">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264E48C4"/>
    <w:multiLevelType w:val="hybridMultilevel"/>
    <w:tmpl w:val="A06AA7B2"/>
    <w:lvl w:ilvl="0" w:tplc="422CDC14">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2AFA7DFD"/>
    <w:multiLevelType w:val="hybridMultilevel"/>
    <w:tmpl w:val="2F6EE5E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2BF878FB"/>
    <w:multiLevelType w:val="hybridMultilevel"/>
    <w:tmpl w:val="58E60C4A"/>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8" w15:restartNumberingAfterBreak="0">
    <w:nsid w:val="2DD456DF"/>
    <w:multiLevelType w:val="hybridMultilevel"/>
    <w:tmpl w:val="E9BA1BD4"/>
    <w:lvl w:ilvl="0" w:tplc="16925B60">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304E69EF"/>
    <w:multiLevelType w:val="hybridMultilevel"/>
    <w:tmpl w:val="0FE63D3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0" w15:restartNumberingAfterBreak="0">
    <w:nsid w:val="32F35F62"/>
    <w:multiLevelType w:val="hybridMultilevel"/>
    <w:tmpl w:val="7708D1AE"/>
    <w:lvl w:ilvl="0" w:tplc="7CEE548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41970B82"/>
    <w:multiLevelType w:val="hybridMultilevel"/>
    <w:tmpl w:val="7472D1E2"/>
    <w:lvl w:ilvl="0" w:tplc="5F3872B4">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15:restartNumberingAfterBreak="0">
    <w:nsid w:val="4B264598"/>
    <w:multiLevelType w:val="hybridMultilevel"/>
    <w:tmpl w:val="14148E96"/>
    <w:lvl w:ilvl="0" w:tplc="5F3872B4">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 w15:restartNumberingAfterBreak="0">
    <w:nsid w:val="4DE45E71"/>
    <w:multiLevelType w:val="hybridMultilevel"/>
    <w:tmpl w:val="4822D018"/>
    <w:lvl w:ilvl="0" w:tplc="E560516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15:restartNumberingAfterBreak="0">
    <w:nsid w:val="50285CFD"/>
    <w:multiLevelType w:val="hybridMultilevel"/>
    <w:tmpl w:val="385689EE"/>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5" w15:restartNumberingAfterBreak="0">
    <w:nsid w:val="50A165AC"/>
    <w:multiLevelType w:val="hybridMultilevel"/>
    <w:tmpl w:val="9402905C"/>
    <w:lvl w:ilvl="0" w:tplc="5F3872B4">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6" w15:restartNumberingAfterBreak="0">
    <w:nsid w:val="56997178"/>
    <w:multiLevelType w:val="hybridMultilevel"/>
    <w:tmpl w:val="266C5A32"/>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7" w15:restartNumberingAfterBreak="0">
    <w:nsid w:val="5B3670FA"/>
    <w:multiLevelType w:val="hybridMultilevel"/>
    <w:tmpl w:val="12CEEAE6"/>
    <w:lvl w:ilvl="0" w:tplc="422CDC14">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8" w15:restartNumberingAfterBreak="0">
    <w:nsid w:val="5F18650D"/>
    <w:multiLevelType w:val="hybridMultilevel"/>
    <w:tmpl w:val="E93663BE"/>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9" w15:restartNumberingAfterBreak="0">
    <w:nsid w:val="5F9346FF"/>
    <w:multiLevelType w:val="hybridMultilevel"/>
    <w:tmpl w:val="BBD45DA8"/>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0" w15:restartNumberingAfterBreak="0">
    <w:nsid w:val="62F6355E"/>
    <w:multiLevelType w:val="hybridMultilevel"/>
    <w:tmpl w:val="2C8C539E"/>
    <w:lvl w:ilvl="0" w:tplc="422CDC14">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1" w15:restartNumberingAfterBreak="0">
    <w:nsid w:val="640604BD"/>
    <w:multiLevelType w:val="hybridMultilevel"/>
    <w:tmpl w:val="BA3ABEEE"/>
    <w:lvl w:ilvl="0" w:tplc="5F3872B4">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2" w15:restartNumberingAfterBreak="0">
    <w:nsid w:val="6C2D44C9"/>
    <w:multiLevelType w:val="hybridMultilevel"/>
    <w:tmpl w:val="31B2D48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3" w15:restartNumberingAfterBreak="0">
    <w:nsid w:val="6C472A63"/>
    <w:multiLevelType w:val="hybridMultilevel"/>
    <w:tmpl w:val="9B88556E"/>
    <w:lvl w:ilvl="0" w:tplc="4BF42D2C">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4" w15:restartNumberingAfterBreak="0">
    <w:nsid w:val="6C9E4ABA"/>
    <w:multiLevelType w:val="hybridMultilevel"/>
    <w:tmpl w:val="F2F68824"/>
    <w:lvl w:ilvl="0" w:tplc="7CEE548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5" w15:restartNumberingAfterBreak="0">
    <w:nsid w:val="73444132"/>
    <w:multiLevelType w:val="hybridMultilevel"/>
    <w:tmpl w:val="4EE2C89A"/>
    <w:lvl w:ilvl="0" w:tplc="4BF42D2C">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1"/>
  </w:num>
  <w:num w:numId="4">
    <w:abstractNumId w:val="13"/>
  </w:num>
  <w:num w:numId="5">
    <w:abstractNumId w:val="25"/>
  </w:num>
  <w:num w:numId="6">
    <w:abstractNumId w:val="23"/>
  </w:num>
  <w:num w:numId="7">
    <w:abstractNumId w:val="2"/>
  </w:num>
  <w:num w:numId="8">
    <w:abstractNumId w:val="16"/>
  </w:num>
  <w:num w:numId="9">
    <w:abstractNumId w:val="6"/>
  </w:num>
  <w:num w:numId="10">
    <w:abstractNumId w:val="18"/>
  </w:num>
  <w:num w:numId="11">
    <w:abstractNumId w:val="22"/>
  </w:num>
  <w:num w:numId="12">
    <w:abstractNumId w:val="3"/>
  </w:num>
  <w:num w:numId="13">
    <w:abstractNumId w:val="14"/>
  </w:num>
  <w:num w:numId="14">
    <w:abstractNumId w:val="19"/>
  </w:num>
  <w:num w:numId="15">
    <w:abstractNumId w:val="20"/>
  </w:num>
  <w:num w:numId="16">
    <w:abstractNumId w:val="5"/>
  </w:num>
  <w:num w:numId="17">
    <w:abstractNumId w:val="17"/>
  </w:num>
  <w:num w:numId="18">
    <w:abstractNumId w:val="21"/>
  </w:num>
  <w:num w:numId="19">
    <w:abstractNumId w:val="12"/>
  </w:num>
  <w:num w:numId="20">
    <w:abstractNumId w:val="15"/>
  </w:num>
  <w:num w:numId="21">
    <w:abstractNumId w:val="11"/>
  </w:num>
  <w:num w:numId="22">
    <w:abstractNumId w:val="8"/>
  </w:num>
  <w:num w:numId="23">
    <w:abstractNumId w:val="4"/>
  </w:num>
  <w:num w:numId="24">
    <w:abstractNumId w:val="0"/>
  </w:num>
  <w:num w:numId="25">
    <w:abstractNumId w:val="10"/>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246"/>
    <w:rsid w:val="0004352B"/>
    <w:rsid w:val="0007704E"/>
    <w:rsid w:val="000A1D21"/>
    <w:rsid w:val="000A4201"/>
    <w:rsid w:val="000B481F"/>
    <w:rsid w:val="000C3A07"/>
    <w:rsid w:val="001215ED"/>
    <w:rsid w:val="00165EC6"/>
    <w:rsid w:val="001808CF"/>
    <w:rsid w:val="0018184A"/>
    <w:rsid w:val="00182C78"/>
    <w:rsid w:val="001B489B"/>
    <w:rsid w:val="001B7895"/>
    <w:rsid w:val="001F21AF"/>
    <w:rsid w:val="00201E49"/>
    <w:rsid w:val="0023475B"/>
    <w:rsid w:val="002376B7"/>
    <w:rsid w:val="00255CF6"/>
    <w:rsid w:val="0026352D"/>
    <w:rsid w:val="0028636E"/>
    <w:rsid w:val="002D1D58"/>
    <w:rsid w:val="00331940"/>
    <w:rsid w:val="0038356C"/>
    <w:rsid w:val="00390B2A"/>
    <w:rsid w:val="003B091A"/>
    <w:rsid w:val="003D4246"/>
    <w:rsid w:val="00401125"/>
    <w:rsid w:val="00402482"/>
    <w:rsid w:val="0045370B"/>
    <w:rsid w:val="004F69F7"/>
    <w:rsid w:val="00511080"/>
    <w:rsid w:val="00515D08"/>
    <w:rsid w:val="0053177D"/>
    <w:rsid w:val="00573FF1"/>
    <w:rsid w:val="005937D1"/>
    <w:rsid w:val="005D04D3"/>
    <w:rsid w:val="00602081"/>
    <w:rsid w:val="00680FB4"/>
    <w:rsid w:val="00685157"/>
    <w:rsid w:val="006865F1"/>
    <w:rsid w:val="006B3A7E"/>
    <w:rsid w:val="006F18B4"/>
    <w:rsid w:val="006F4AF8"/>
    <w:rsid w:val="00730C93"/>
    <w:rsid w:val="00740949"/>
    <w:rsid w:val="00752E57"/>
    <w:rsid w:val="00774C87"/>
    <w:rsid w:val="00785695"/>
    <w:rsid w:val="00793ED3"/>
    <w:rsid w:val="007C443B"/>
    <w:rsid w:val="007C4BD0"/>
    <w:rsid w:val="0084338C"/>
    <w:rsid w:val="008869C2"/>
    <w:rsid w:val="008F3E37"/>
    <w:rsid w:val="0090623D"/>
    <w:rsid w:val="00926833"/>
    <w:rsid w:val="009527BA"/>
    <w:rsid w:val="00971BB4"/>
    <w:rsid w:val="009765EE"/>
    <w:rsid w:val="00A53AB9"/>
    <w:rsid w:val="00A614AE"/>
    <w:rsid w:val="00A65119"/>
    <w:rsid w:val="00A72CE2"/>
    <w:rsid w:val="00A76026"/>
    <w:rsid w:val="00AC1501"/>
    <w:rsid w:val="00B30D99"/>
    <w:rsid w:val="00B652F0"/>
    <w:rsid w:val="00B937D1"/>
    <w:rsid w:val="00BB1EC1"/>
    <w:rsid w:val="00BC27D3"/>
    <w:rsid w:val="00BD552D"/>
    <w:rsid w:val="00BF6CCE"/>
    <w:rsid w:val="00C13D13"/>
    <w:rsid w:val="00C25502"/>
    <w:rsid w:val="00C32113"/>
    <w:rsid w:val="00C95114"/>
    <w:rsid w:val="00D34CBF"/>
    <w:rsid w:val="00D35F10"/>
    <w:rsid w:val="00D51CCB"/>
    <w:rsid w:val="00D81EF4"/>
    <w:rsid w:val="00D90353"/>
    <w:rsid w:val="00D90418"/>
    <w:rsid w:val="00D9191B"/>
    <w:rsid w:val="00DE0891"/>
    <w:rsid w:val="00DF7F28"/>
    <w:rsid w:val="00E054FA"/>
    <w:rsid w:val="00E17847"/>
    <w:rsid w:val="00E33A32"/>
    <w:rsid w:val="00E37A6B"/>
    <w:rsid w:val="00E533AE"/>
    <w:rsid w:val="00E606C6"/>
    <w:rsid w:val="00E66A15"/>
    <w:rsid w:val="00EB72D5"/>
    <w:rsid w:val="00EC0E3B"/>
    <w:rsid w:val="00EC44E9"/>
    <w:rsid w:val="00F014BF"/>
    <w:rsid w:val="00F147C7"/>
    <w:rsid w:val="00F817B7"/>
    <w:rsid w:val="00FB01E9"/>
    <w:rsid w:val="00FD2B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C9104"/>
  <w15:chartTrackingRefBased/>
  <w15:docId w15:val="{5AC1BDC5-CAE6-49BC-A507-AA9A05B16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7C443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D4246"/>
    <w:pPr>
      <w:ind w:left="720"/>
      <w:contextualSpacing/>
    </w:pPr>
  </w:style>
  <w:style w:type="paragraph" w:styleId="Notedebasdepage">
    <w:name w:val="footnote text"/>
    <w:basedOn w:val="Normal"/>
    <w:link w:val="NotedebasdepageCar"/>
    <w:uiPriority w:val="99"/>
    <w:semiHidden/>
    <w:unhideWhenUsed/>
    <w:rsid w:val="000C3A0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C3A07"/>
    <w:rPr>
      <w:sz w:val="20"/>
      <w:szCs w:val="20"/>
    </w:rPr>
  </w:style>
  <w:style w:type="character" w:styleId="Appelnotedebasdep">
    <w:name w:val="footnote reference"/>
    <w:basedOn w:val="Policepardfaut"/>
    <w:uiPriority w:val="99"/>
    <w:semiHidden/>
    <w:unhideWhenUsed/>
    <w:rsid w:val="000C3A07"/>
    <w:rPr>
      <w:vertAlign w:val="superscript"/>
    </w:rPr>
  </w:style>
  <w:style w:type="paragraph" w:styleId="En-tte">
    <w:name w:val="header"/>
    <w:basedOn w:val="Normal"/>
    <w:link w:val="En-tteCar"/>
    <w:uiPriority w:val="99"/>
    <w:unhideWhenUsed/>
    <w:rsid w:val="0028636E"/>
    <w:pPr>
      <w:tabs>
        <w:tab w:val="center" w:pos="4320"/>
        <w:tab w:val="right" w:pos="8640"/>
      </w:tabs>
      <w:spacing w:after="0" w:line="240" w:lineRule="auto"/>
    </w:pPr>
  </w:style>
  <w:style w:type="character" w:customStyle="1" w:styleId="En-tteCar">
    <w:name w:val="En-tête Car"/>
    <w:basedOn w:val="Policepardfaut"/>
    <w:link w:val="En-tte"/>
    <w:uiPriority w:val="99"/>
    <w:rsid w:val="0028636E"/>
  </w:style>
  <w:style w:type="paragraph" w:styleId="Pieddepage">
    <w:name w:val="footer"/>
    <w:basedOn w:val="Normal"/>
    <w:link w:val="PieddepageCar"/>
    <w:uiPriority w:val="99"/>
    <w:unhideWhenUsed/>
    <w:rsid w:val="0028636E"/>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2863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192760">
      <w:bodyDiv w:val="1"/>
      <w:marLeft w:val="0"/>
      <w:marRight w:val="0"/>
      <w:marTop w:val="0"/>
      <w:marBottom w:val="0"/>
      <w:divBdr>
        <w:top w:val="none" w:sz="0" w:space="0" w:color="auto"/>
        <w:left w:val="none" w:sz="0" w:space="0" w:color="auto"/>
        <w:bottom w:val="none" w:sz="0" w:space="0" w:color="auto"/>
        <w:right w:val="none" w:sz="0" w:space="0" w:color="auto"/>
      </w:divBdr>
      <w:divsChild>
        <w:div w:id="1997104118">
          <w:marLeft w:val="0"/>
          <w:marRight w:val="0"/>
          <w:marTop w:val="0"/>
          <w:marBottom w:val="0"/>
          <w:divBdr>
            <w:top w:val="none" w:sz="0" w:space="0" w:color="auto"/>
            <w:left w:val="none" w:sz="0" w:space="0" w:color="auto"/>
            <w:bottom w:val="none" w:sz="0" w:space="0" w:color="auto"/>
            <w:right w:val="none" w:sz="0" w:space="0" w:color="auto"/>
          </w:divBdr>
          <w:divsChild>
            <w:div w:id="1996566678">
              <w:marLeft w:val="0"/>
              <w:marRight w:val="0"/>
              <w:marTop w:val="0"/>
              <w:marBottom w:val="0"/>
              <w:divBdr>
                <w:top w:val="none" w:sz="0" w:space="0" w:color="auto"/>
                <w:left w:val="none" w:sz="0" w:space="0" w:color="auto"/>
                <w:bottom w:val="none" w:sz="0" w:space="0" w:color="auto"/>
                <w:right w:val="none" w:sz="0" w:space="0" w:color="auto"/>
              </w:divBdr>
              <w:divsChild>
                <w:div w:id="977107819">
                  <w:marLeft w:val="0"/>
                  <w:marRight w:val="0"/>
                  <w:marTop w:val="0"/>
                  <w:marBottom w:val="0"/>
                  <w:divBdr>
                    <w:top w:val="none" w:sz="0" w:space="0" w:color="auto"/>
                    <w:left w:val="none" w:sz="0" w:space="0" w:color="auto"/>
                    <w:bottom w:val="none" w:sz="0" w:space="0" w:color="auto"/>
                    <w:right w:val="none" w:sz="0" w:space="0" w:color="auto"/>
                  </w:divBdr>
                  <w:divsChild>
                    <w:div w:id="225579107">
                      <w:marLeft w:val="0"/>
                      <w:marRight w:val="0"/>
                      <w:marTop w:val="45"/>
                      <w:marBottom w:val="0"/>
                      <w:divBdr>
                        <w:top w:val="none" w:sz="0" w:space="0" w:color="auto"/>
                        <w:left w:val="none" w:sz="0" w:space="0" w:color="auto"/>
                        <w:bottom w:val="none" w:sz="0" w:space="0" w:color="auto"/>
                        <w:right w:val="none" w:sz="0" w:space="0" w:color="auto"/>
                      </w:divBdr>
                      <w:divsChild>
                        <w:div w:id="944993675">
                          <w:marLeft w:val="0"/>
                          <w:marRight w:val="0"/>
                          <w:marTop w:val="0"/>
                          <w:marBottom w:val="0"/>
                          <w:divBdr>
                            <w:top w:val="none" w:sz="0" w:space="0" w:color="auto"/>
                            <w:left w:val="none" w:sz="0" w:space="0" w:color="auto"/>
                            <w:bottom w:val="none" w:sz="0" w:space="0" w:color="auto"/>
                            <w:right w:val="none" w:sz="0" w:space="0" w:color="auto"/>
                          </w:divBdr>
                          <w:divsChild>
                            <w:div w:id="959068382">
                              <w:marLeft w:val="10530"/>
                              <w:marRight w:val="0"/>
                              <w:marTop w:val="0"/>
                              <w:marBottom w:val="0"/>
                              <w:divBdr>
                                <w:top w:val="none" w:sz="0" w:space="0" w:color="auto"/>
                                <w:left w:val="none" w:sz="0" w:space="0" w:color="auto"/>
                                <w:bottom w:val="none" w:sz="0" w:space="0" w:color="auto"/>
                                <w:right w:val="none" w:sz="0" w:space="0" w:color="auto"/>
                              </w:divBdr>
                              <w:divsChild>
                                <w:div w:id="950168215">
                                  <w:marLeft w:val="0"/>
                                  <w:marRight w:val="0"/>
                                  <w:marTop w:val="0"/>
                                  <w:marBottom w:val="0"/>
                                  <w:divBdr>
                                    <w:top w:val="none" w:sz="0" w:space="0" w:color="auto"/>
                                    <w:left w:val="none" w:sz="0" w:space="0" w:color="auto"/>
                                    <w:bottom w:val="none" w:sz="0" w:space="0" w:color="auto"/>
                                    <w:right w:val="none" w:sz="0" w:space="0" w:color="auto"/>
                                  </w:divBdr>
                                  <w:divsChild>
                                    <w:div w:id="1411464828">
                                      <w:marLeft w:val="0"/>
                                      <w:marRight w:val="0"/>
                                      <w:marTop w:val="0"/>
                                      <w:marBottom w:val="345"/>
                                      <w:divBdr>
                                        <w:top w:val="none" w:sz="0" w:space="0" w:color="auto"/>
                                        <w:left w:val="none" w:sz="0" w:space="0" w:color="auto"/>
                                        <w:bottom w:val="none" w:sz="0" w:space="0" w:color="auto"/>
                                        <w:right w:val="none" w:sz="0" w:space="0" w:color="auto"/>
                                      </w:divBdr>
                                      <w:divsChild>
                                        <w:div w:id="35467777">
                                          <w:marLeft w:val="0"/>
                                          <w:marRight w:val="0"/>
                                          <w:marTop w:val="0"/>
                                          <w:marBottom w:val="0"/>
                                          <w:divBdr>
                                            <w:top w:val="none" w:sz="0" w:space="0" w:color="auto"/>
                                            <w:left w:val="none" w:sz="0" w:space="0" w:color="auto"/>
                                            <w:bottom w:val="none" w:sz="0" w:space="0" w:color="auto"/>
                                            <w:right w:val="none" w:sz="0" w:space="0" w:color="auto"/>
                                          </w:divBdr>
                                          <w:divsChild>
                                            <w:div w:id="1469394921">
                                              <w:marLeft w:val="0"/>
                                              <w:marRight w:val="0"/>
                                              <w:marTop w:val="0"/>
                                              <w:marBottom w:val="0"/>
                                              <w:divBdr>
                                                <w:top w:val="none" w:sz="0" w:space="0" w:color="auto"/>
                                                <w:left w:val="none" w:sz="0" w:space="0" w:color="auto"/>
                                                <w:bottom w:val="none" w:sz="0" w:space="0" w:color="auto"/>
                                                <w:right w:val="none" w:sz="0" w:space="0" w:color="auto"/>
                                              </w:divBdr>
                                              <w:divsChild>
                                                <w:div w:id="145901689">
                                                  <w:marLeft w:val="0"/>
                                                  <w:marRight w:val="0"/>
                                                  <w:marTop w:val="0"/>
                                                  <w:marBottom w:val="0"/>
                                                  <w:divBdr>
                                                    <w:top w:val="none" w:sz="0" w:space="0" w:color="auto"/>
                                                    <w:left w:val="none" w:sz="0" w:space="0" w:color="auto"/>
                                                    <w:bottom w:val="none" w:sz="0" w:space="0" w:color="auto"/>
                                                    <w:right w:val="none" w:sz="0" w:space="0" w:color="auto"/>
                                                  </w:divBdr>
                                                  <w:divsChild>
                                                    <w:div w:id="1841499741">
                                                      <w:marLeft w:val="0"/>
                                                      <w:marRight w:val="0"/>
                                                      <w:marTop w:val="0"/>
                                                      <w:marBottom w:val="0"/>
                                                      <w:divBdr>
                                                        <w:top w:val="none" w:sz="0" w:space="0" w:color="auto"/>
                                                        <w:left w:val="none" w:sz="0" w:space="0" w:color="auto"/>
                                                        <w:bottom w:val="none" w:sz="0" w:space="0" w:color="auto"/>
                                                        <w:right w:val="none" w:sz="0" w:space="0" w:color="auto"/>
                                                      </w:divBdr>
                                                      <w:divsChild>
                                                        <w:div w:id="1188058805">
                                                          <w:marLeft w:val="0"/>
                                                          <w:marRight w:val="0"/>
                                                          <w:marTop w:val="0"/>
                                                          <w:marBottom w:val="0"/>
                                                          <w:divBdr>
                                                            <w:top w:val="none" w:sz="0" w:space="0" w:color="auto"/>
                                                            <w:left w:val="none" w:sz="0" w:space="0" w:color="auto"/>
                                                            <w:bottom w:val="none" w:sz="0" w:space="0" w:color="auto"/>
                                                            <w:right w:val="none" w:sz="0" w:space="0" w:color="auto"/>
                                                          </w:divBdr>
                                                          <w:divsChild>
                                                            <w:div w:id="1695888026">
                                                              <w:marLeft w:val="0"/>
                                                              <w:marRight w:val="0"/>
                                                              <w:marTop w:val="0"/>
                                                              <w:marBottom w:val="0"/>
                                                              <w:divBdr>
                                                                <w:top w:val="none" w:sz="0" w:space="0" w:color="auto"/>
                                                                <w:left w:val="none" w:sz="0" w:space="0" w:color="auto"/>
                                                                <w:bottom w:val="none" w:sz="0" w:space="0" w:color="auto"/>
                                                                <w:right w:val="none" w:sz="0" w:space="0" w:color="auto"/>
                                                              </w:divBdr>
                                                              <w:divsChild>
                                                                <w:div w:id="1436898466">
                                                                  <w:marLeft w:val="0"/>
                                                                  <w:marRight w:val="0"/>
                                                                  <w:marTop w:val="0"/>
                                                                  <w:marBottom w:val="0"/>
                                                                  <w:divBdr>
                                                                    <w:top w:val="none" w:sz="0" w:space="0" w:color="auto"/>
                                                                    <w:left w:val="none" w:sz="0" w:space="0" w:color="auto"/>
                                                                    <w:bottom w:val="none" w:sz="0" w:space="0" w:color="auto"/>
                                                                    <w:right w:val="none" w:sz="0" w:space="0" w:color="auto"/>
                                                                  </w:divBdr>
                                                                  <w:divsChild>
                                                                    <w:div w:id="137037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E2C0F4-74D6-48AA-A7F0-C8C6058DA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2098</TotalTime>
  <Pages>1</Pages>
  <Words>2615</Words>
  <Characters>14383</Characters>
  <Application>Microsoft Office Word</Application>
  <DocSecurity>0</DocSecurity>
  <Lines>119</Lines>
  <Paragraphs>33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Tristan</dc:creator>
  <cp:keywords/>
  <dc:description/>
  <cp:lastModifiedBy>Tristan</cp:lastModifiedBy>
  <cp:revision>29</cp:revision>
  <cp:lastPrinted>2016-03-14T04:24:00Z</cp:lastPrinted>
  <dcterms:created xsi:type="dcterms:W3CDTF">2016-02-16T15:20:00Z</dcterms:created>
  <dcterms:modified xsi:type="dcterms:W3CDTF">2016-04-15T19:11:00Z</dcterms:modified>
</cp:coreProperties>
</file>